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3A95" w:rsidRDefault="00993A95">
      <w:pPr>
        <w:pStyle w:val="1"/>
      </w:pPr>
      <w:r>
        <w:fldChar w:fldCharType="begin"/>
      </w:r>
      <w:r>
        <w:instrText>HYPERLINK "garantF1://31413688.0"</w:instrText>
      </w:r>
      <w:r>
        <w:fldChar w:fldCharType="separate"/>
      </w:r>
      <w:r>
        <w:rPr>
          <w:rStyle w:val="a4"/>
          <w:rFonts w:cs="Arial"/>
          <w:b w:val="0"/>
          <w:bCs w:val="0"/>
        </w:rPr>
        <w:t>Постановление Администрации муниципального образования город-курорт Анапа</w:t>
      </w:r>
      <w:r>
        <w:rPr>
          <w:rStyle w:val="a4"/>
          <w:rFonts w:cs="Arial"/>
          <w:b w:val="0"/>
          <w:bCs w:val="0"/>
        </w:rPr>
        <w:br/>
        <w:t>от 16 апреля 2012 г. N 994</w:t>
      </w:r>
      <w:r>
        <w:rPr>
          <w:rStyle w:val="a4"/>
          <w:rFonts w:cs="Arial"/>
          <w:b w:val="0"/>
          <w:bCs w:val="0"/>
        </w:rPr>
        <w:br/>
        <w:t>"Об утверждении Порядка расчета размера платы за установку и эксплуатацию</w:t>
      </w:r>
      <w:r>
        <w:rPr>
          <w:rStyle w:val="a4"/>
          <w:rFonts w:cs="Arial"/>
          <w:b w:val="0"/>
          <w:bCs w:val="0"/>
        </w:rPr>
        <w:br/>
        <w:t>рекламной конструкции на объекте недвижимого имущества, находящегося</w:t>
      </w:r>
      <w:r>
        <w:rPr>
          <w:rStyle w:val="a4"/>
          <w:rFonts w:cs="Arial"/>
          <w:b w:val="0"/>
          <w:bCs w:val="0"/>
        </w:rPr>
        <w:br/>
        <w:t>в муниципальной собственности муниципального образования город-курорт Анапа,</w:t>
      </w:r>
      <w:r>
        <w:rPr>
          <w:rStyle w:val="a4"/>
          <w:rFonts w:cs="Arial"/>
          <w:b w:val="0"/>
          <w:bCs w:val="0"/>
        </w:rPr>
        <w:br/>
        <w:t>и установлении зон размещения рекламных конструкций на территории</w:t>
      </w:r>
      <w:r>
        <w:rPr>
          <w:rStyle w:val="a4"/>
          <w:rFonts w:cs="Arial"/>
          <w:b w:val="0"/>
          <w:bCs w:val="0"/>
        </w:rPr>
        <w:br/>
        <w:t>муниципального образования город-курорт Анапа"</w:t>
      </w:r>
      <w:r>
        <w:fldChar w:fldCharType="end"/>
      </w:r>
    </w:p>
    <w:p w:rsidR="00993A95" w:rsidRDefault="00993A95"/>
    <w:p w:rsidR="00993A95" w:rsidRDefault="00993A95">
      <w:r>
        <w:t xml:space="preserve">Руководствуясь Положением о порядке владения, пользования и распоряжения муниципальной собственностью муниципального образования город-курорт Анапа, утвержденным решением Совета муниципального образования город-курорт Анапа от 02 июня 2006 года N 284, в соответствии с </w:t>
      </w:r>
      <w:hyperlink r:id="rId6" w:history="1">
        <w:r>
          <w:rPr>
            <w:rStyle w:val="a4"/>
            <w:rFonts w:cs="Arial"/>
          </w:rPr>
          <w:t>пунктом 6.13 раздела 6</w:t>
        </w:r>
      </w:hyperlink>
      <w:r>
        <w:t xml:space="preserve"> Правил установки рекламных конструкций на территории муниципального образования город-курорт Анапа, утвержденных </w:t>
      </w:r>
      <w:hyperlink r:id="rId7" w:history="1">
        <w:r>
          <w:rPr>
            <w:rStyle w:val="a4"/>
            <w:rFonts w:cs="Arial"/>
          </w:rPr>
          <w:t>решением</w:t>
        </w:r>
      </w:hyperlink>
      <w:r>
        <w:t xml:space="preserve"> Совета муниципального образования город-курорт Анапа от 10 ноября 2009 года N 1085, постановляю:</w:t>
      </w:r>
    </w:p>
    <w:p w:rsidR="00993A95" w:rsidRDefault="00993A95">
      <w:bookmarkStart w:id="1" w:name="sub_1"/>
      <w:r>
        <w:t xml:space="preserve">1. Утвердить Порядок расчета размера платы за установку и эксплуатацию рекламной конструкции на объекте недвижимого имущества, находящегося в муниципальной собственности муниципального образования город-курорт Анапа, согласно </w:t>
      </w:r>
      <w:hyperlink w:anchor="sub_1000" w:history="1">
        <w:r>
          <w:rPr>
            <w:rStyle w:val="a4"/>
            <w:rFonts w:cs="Arial"/>
          </w:rPr>
          <w:t>приложению N 1</w:t>
        </w:r>
      </w:hyperlink>
      <w:r>
        <w:t xml:space="preserve"> к настоящему постановлению.</w:t>
      </w:r>
    </w:p>
    <w:p w:rsidR="00993A95" w:rsidRDefault="00993A95">
      <w:bookmarkStart w:id="2" w:name="sub_2"/>
      <w:bookmarkEnd w:id="1"/>
      <w:r>
        <w:t xml:space="preserve">2. Установить зоны размещения рекламных конструкций на территории муниципального образования город-курорт Анапа согласно </w:t>
      </w:r>
      <w:hyperlink w:anchor="sub_2000" w:history="1">
        <w:r>
          <w:rPr>
            <w:rStyle w:val="a4"/>
            <w:rFonts w:cs="Arial"/>
          </w:rPr>
          <w:t>приложению N 2</w:t>
        </w:r>
      </w:hyperlink>
      <w:r>
        <w:t xml:space="preserve"> к настоящему постановлению.</w:t>
      </w:r>
    </w:p>
    <w:p w:rsidR="00993A95" w:rsidRDefault="00993A95">
      <w:bookmarkStart w:id="3" w:name="sub_3"/>
      <w:bookmarkEnd w:id="2"/>
      <w:r>
        <w:t xml:space="preserve">3. Управлению по взаимодействию со средствами массовой информации администрации муниципального образования город-курорт Анапа (Вовк) </w:t>
      </w:r>
      <w:hyperlink r:id="rId8" w:history="1">
        <w:r>
          <w:rPr>
            <w:rStyle w:val="a4"/>
            <w:rFonts w:cs="Arial"/>
          </w:rPr>
          <w:t>опубликовать</w:t>
        </w:r>
      </w:hyperlink>
      <w:r>
        <w:t xml:space="preserve"> настоящее постановление в средствах массовой информации.</w:t>
      </w:r>
    </w:p>
    <w:p w:rsidR="00993A95" w:rsidRDefault="00993A95">
      <w:bookmarkStart w:id="4" w:name="sub_4"/>
      <w:bookmarkEnd w:id="3"/>
      <w:r>
        <w:t>4. Контроль за выполнением настоящего постановления возложить на заместителя главы муниципального образования город-курорт Анапа О.Е. Бузунова.</w:t>
      </w:r>
    </w:p>
    <w:bookmarkEnd w:id="4"/>
    <w:p w:rsidR="00993A95" w:rsidRDefault="00993A95"/>
    <w:tbl>
      <w:tblPr>
        <w:tblW w:w="0" w:type="auto"/>
        <w:tblInd w:w="108" w:type="dxa"/>
        <w:tblLook w:val="0000" w:firstRow="0" w:lastRow="0" w:firstColumn="0" w:lastColumn="0" w:noHBand="0" w:noVBand="0"/>
      </w:tblPr>
      <w:tblGrid>
        <w:gridCol w:w="6666"/>
        <w:gridCol w:w="3333"/>
      </w:tblGrid>
      <w:tr w:rsidR="00993A95">
        <w:tblPrEx>
          <w:tblCellMar>
            <w:top w:w="0" w:type="dxa"/>
            <w:bottom w:w="0" w:type="dxa"/>
          </w:tblCellMar>
        </w:tblPrEx>
        <w:tc>
          <w:tcPr>
            <w:tcW w:w="6666" w:type="dxa"/>
            <w:tcBorders>
              <w:top w:val="nil"/>
              <w:left w:val="nil"/>
              <w:bottom w:val="nil"/>
              <w:right w:val="nil"/>
            </w:tcBorders>
          </w:tcPr>
          <w:p w:rsidR="00993A95" w:rsidRDefault="00993A95">
            <w:pPr>
              <w:pStyle w:val="a6"/>
            </w:pPr>
            <w:r>
              <w:t>глава муниципального</w:t>
            </w:r>
            <w:r>
              <w:br/>
              <w:t>образования город-курорт Анапа</w:t>
            </w:r>
          </w:p>
        </w:tc>
        <w:tc>
          <w:tcPr>
            <w:tcW w:w="3333" w:type="dxa"/>
            <w:tcBorders>
              <w:top w:val="nil"/>
              <w:left w:val="nil"/>
              <w:bottom w:val="nil"/>
              <w:right w:val="nil"/>
            </w:tcBorders>
          </w:tcPr>
          <w:p w:rsidR="00993A95" w:rsidRDefault="00993A95">
            <w:pPr>
              <w:pStyle w:val="a5"/>
              <w:jc w:val="right"/>
            </w:pPr>
            <w:r>
              <w:t>Т. Евсикова</w:t>
            </w:r>
          </w:p>
        </w:tc>
      </w:tr>
    </w:tbl>
    <w:p w:rsidR="00993A95" w:rsidRDefault="00993A95"/>
    <w:p w:rsidR="00993A95" w:rsidRDefault="00993A95">
      <w:pPr>
        <w:ind w:firstLine="698"/>
        <w:jc w:val="right"/>
      </w:pPr>
      <w:bookmarkStart w:id="5" w:name="sub_1000"/>
      <w:r>
        <w:rPr>
          <w:rStyle w:val="a3"/>
          <w:bCs/>
        </w:rPr>
        <w:t>Приложение N 1</w:t>
      </w:r>
    </w:p>
    <w:bookmarkEnd w:id="5"/>
    <w:p w:rsidR="00993A95" w:rsidRDefault="00993A95"/>
    <w:p w:rsidR="00993A95" w:rsidRDefault="00993A95">
      <w:pPr>
        <w:pStyle w:val="1"/>
      </w:pPr>
      <w:r>
        <w:t>Порядок</w:t>
      </w:r>
      <w:r>
        <w:br/>
        <w:t>расчета размера платы за установку и эксплуатацию рекламной конструкции</w:t>
      </w:r>
      <w:r>
        <w:br/>
        <w:t>на объекте недвижимого имущества, находящегося в муниципальной</w:t>
      </w:r>
      <w:r>
        <w:br/>
        <w:t>собственности муниципального образования город-курорт Анапа</w:t>
      </w:r>
      <w:r>
        <w:br/>
        <w:t xml:space="preserve">(утв. </w:t>
      </w:r>
      <w:hyperlink w:anchor="sub_0" w:history="1">
        <w:r>
          <w:rPr>
            <w:rStyle w:val="a4"/>
            <w:rFonts w:cs="Arial"/>
            <w:b w:val="0"/>
            <w:bCs w:val="0"/>
          </w:rPr>
          <w:t>постановлением</w:t>
        </w:r>
      </w:hyperlink>
      <w:r>
        <w:t xml:space="preserve"> администрации муниципального образования </w:t>
      </w:r>
      <w:r>
        <w:br/>
        <w:t>город-курорт Анапа от 16 апреля 2012 г. N 994)</w:t>
      </w:r>
    </w:p>
    <w:p w:rsidR="00993A95" w:rsidRDefault="00993A95"/>
    <w:p w:rsidR="00993A95" w:rsidRDefault="00993A95">
      <w:bookmarkStart w:id="6" w:name="sub_11"/>
      <w:r>
        <w:t>1. Настоящий Порядок расчета размера платы за установку и эксплуатацию рекламной конструкции на объекте недвижимого имущества, находящегося в муниципальной собственности муниципального образования город-курорт Анапа (далее - Порядок), применяется при расчете размера платы за установку и эксплуатацию рекламной конструкции по договорам на установку и эксплуатацию рекламной конструкции на объекте недвижимого имущества, находящегося в муниципальной собственности муниципального образования город-курорт Анапа.</w:t>
      </w:r>
    </w:p>
    <w:p w:rsidR="00993A95" w:rsidRDefault="00993A95">
      <w:bookmarkStart w:id="7" w:name="sub_12"/>
      <w:bookmarkEnd w:id="6"/>
      <w:r>
        <w:t xml:space="preserve">2. Расчет размера платы за установку и эксплуатацию рекламной конструкции на </w:t>
      </w:r>
      <w:r>
        <w:lastRenderedPageBreak/>
        <w:t>объекте недвижимого имущества, находящегося в муниципальной собственности муниципального образования город-курорт Анапа, производится по следующей формуле (в рублях, без учета НДС):</w:t>
      </w:r>
    </w:p>
    <w:bookmarkEnd w:id="7"/>
    <w:p w:rsidR="00993A95" w:rsidRDefault="00993A95"/>
    <w:p w:rsidR="00993A95" w:rsidRDefault="001C74FE">
      <w:r>
        <w:rPr>
          <w:noProof/>
        </w:rPr>
        <w:drawing>
          <wp:inline distT="0" distB="0" distL="0" distR="0">
            <wp:extent cx="2328545" cy="297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8545" cy="297815"/>
                    </a:xfrm>
                    <a:prstGeom prst="rect">
                      <a:avLst/>
                    </a:prstGeom>
                    <a:noFill/>
                    <a:ln>
                      <a:noFill/>
                    </a:ln>
                  </pic:spPr>
                </pic:pic>
              </a:graphicData>
            </a:graphic>
          </wp:inline>
        </w:drawing>
      </w:r>
    </w:p>
    <w:p w:rsidR="00993A95" w:rsidRDefault="00993A95"/>
    <w:p w:rsidR="00993A95" w:rsidRDefault="00993A95">
      <w:r>
        <w:t>Т - размер платы за установку и эксплуатацию рекламной конструкции на объекте недвижимого имущества, находящегося в муниципальной собственности муниципального образования город-курорт Анапа;</w:t>
      </w:r>
    </w:p>
    <w:p w:rsidR="00993A95" w:rsidRDefault="00993A95">
      <w:r>
        <w:t>БС - базовая ставка, равная 110 рублям;</w:t>
      </w:r>
    </w:p>
    <w:p w:rsidR="00993A95" w:rsidRDefault="00993A95">
      <w:r>
        <w:t>П - период использования рекламных конструкций (единица измерения - год, при исчислении периода в месяцах применяется 1/12 базовой ставки в месяц, при исчислении периода в днях - 1/365 базовой ставки в день);</w:t>
      </w:r>
    </w:p>
    <w:p w:rsidR="00993A95" w:rsidRDefault="00993A95">
      <w:r>
        <w:t>S - площадь информационного поля рекламной конструкции (кв. м);</w:t>
      </w:r>
    </w:p>
    <w:p w:rsidR="00993A95" w:rsidRDefault="00993A95">
      <w:r>
        <w:t>К1 - коэффициент, учитывающий территориальное размещение рекламной конструкции:</w:t>
      </w:r>
    </w:p>
    <w:p w:rsidR="00993A95" w:rsidRDefault="00993A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3"/>
        <w:gridCol w:w="3232"/>
      </w:tblGrid>
      <w:tr w:rsidR="00993A95">
        <w:tblPrEx>
          <w:tblCellMar>
            <w:top w:w="0" w:type="dxa"/>
            <w:bottom w:w="0" w:type="dxa"/>
          </w:tblCellMar>
        </w:tblPrEx>
        <w:tc>
          <w:tcPr>
            <w:tcW w:w="4013" w:type="dxa"/>
            <w:tcBorders>
              <w:top w:val="single" w:sz="4" w:space="0" w:color="auto"/>
              <w:bottom w:val="single" w:sz="4" w:space="0" w:color="auto"/>
              <w:right w:val="single" w:sz="4" w:space="0" w:color="auto"/>
            </w:tcBorders>
          </w:tcPr>
          <w:p w:rsidR="00993A95" w:rsidRDefault="00993A95">
            <w:pPr>
              <w:pStyle w:val="a5"/>
              <w:jc w:val="center"/>
            </w:pPr>
            <w:r>
              <w:t>Зона размещения рекламной конструкции</w:t>
            </w:r>
          </w:p>
        </w:tc>
        <w:tc>
          <w:tcPr>
            <w:tcW w:w="3232" w:type="dxa"/>
            <w:tcBorders>
              <w:top w:val="single" w:sz="4" w:space="0" w:color="auto"/>
              <w:left w:val="single" w:sz="4" w:space="0" w:color="auto"/>
              <w:bottom w:val="single" w:sz="4" w:space="0" w:color="auto"/>
            </w:tcBorders>
          </w:tcPr>
          <w:p w:rsidR="00993A95" w:rsidRDefault="00993A95">
            <w:pPr>
              <w:pStyle w:val="a5"/>
              <w:jc w:val="center"/>
            </w:pPr>
            <w:r>
              <w:t>Значение коэффициента К1</w:t>
            </w:r>
          </w:p>
        </w:tc>
      </w:tr>
      <w:tr w:rsidR="00993A95">
        <w:tblPrEx>
          <w:tblCellMar>
            <w:top w:w="0" w:type="dxa"/>
            <w:bottom w:w="0" w:type="dxa"/>
          </w:tblCellMar>
        </w:tblPrEx>
        <w:tc>
          <w:tcPr>
            <w:tcW w:w="4013" w:type="dxa"/>
            <w:tcBorders>
              <w:top w:val="single" w:sz="4" w:space="0" w:color="auto"/>
              <w:bottom w:val="single" w:sz="4" w:space="0" w:color="auto"/>
              <w:right w:val="single" w:sz="4" w:space="0" w:color="auto"/>
            </w:tcBorders>
          </w:tcPr>
          <w:p w:rsidR="00993A95" w:rsidRDefault="00993A95">
            <w:pPr>
              <w:pStyle w:val="a6"/>
            </w:pPr>
            <w:r>
              <w:t>Зона 1</w:t>
            </w:r>
          </w:p>
        </w:tc>
        <w:tc>
          <w:tcPr>
            <w:tcW w:w="3232" w:type="dxa"/>
            <w:tcBorders>
              <w:top w:val="single" w:sz="4" w:space="0" w:color="auto"/>
              <w:left w:val="single" w:sz="4" w:space="0" w:color="auto"/>
              <w:bottom w:val="single" w:sz="4" w:space="0" w:color="auto"/>
            </w:tcBorders>
          </w:tcPr>
          <w:p w:rsidR="00993A95" w:rsidRDefault="00993A95">
            <w:pPr>
              <w:pStyle w:val="a5"/>
              <w:jc w:val="center"/>
            </w:pPr>
            <w:r>
              <w:t>3,5</w:t>
            </w:r>
          </w:p>
        </w:tc>
      </w:tr>
      <w:tr w:rsidR="00993A95">
        <w:tblPrEx>
          <w:tblCellMar>
            <w:top w:w="0" w:type="dxa"/>
            <w:bottom w:w="0" w:type="dxa"/>
          </w:tblCellMar>
        </w:tblPrEx>
        <w:tc>
          <w:tcPr>
            <w:tcW w:w="4013" w:type="dxa"/>
            <w:tcBorders>
              <w:top w:val="single" w:sz="4" w:space="0" w:color="auto"/>
              <w:bottom w:val="single" w:sz="4" w:space="0" w:color="auto"/>
              <w:right w:val="single" w:sz="4" w:space="0" w:color="auto"/>
            </w:tcBorders>
          </w:tcPr>
          <w:p w:rsidR="00993A95" w:rsidRDefault="00993A95">
            <w:pPr>
              <w:pStyle w:val="a6"/>
            </w:pPr>
            <w:r>
              <w:t>Зона 2</w:t>
            </w:r>
          </w:p>
        </w:tc>
        <w:tc>
          <w:tcPr>
            <w:tcW w:w="3232" w:type="dxa"/>
            <w:tcBorders>
              <w:top w:val="single" w:sz="4" w:space="0" w:color="auto"/>
              <w:left w:val="single" w:sz="4" w:space="0" w:color="auto"/>
              <w:bottom w:val="single" w:sz="4" w:space="0" w:color="auto"/>
            </w:tcBorders>
          </w:tcPr>
          <w:p w:rsidR="00993A95" w:rsidRDefault="00993A95">
            <w:pPr>
              <w:pStyle w:val="a5"/>
              <w:jc w:val="center"/>
            </w:pPr>
            <w:r>
              <w:t>3,1</w:t>
            </w:r>
          </w:p>
        </w:tc>
      </w:tr>
      <w:tr w:rsidR="00993A95">
        <w:tblPrEx>
          <w:tblCellMar>
            <w:top w:w="0" w:type="dxa"/>
            <w:bottom w:w="0" w:type="dxa"/>
          </w:tblCellMar>
        </w:tblPrEx>
        <w:tc>
          <w:tcPr>
            <w:tcW w:w="4013" w:type="dxa"/>
            <w:tcBorders>
              <w:top w:val="single" w:sz="4" w:space="0" w:color="auto"/>
              <w:bottom w:val="single" w:sz="4" w:space="0" w:color="auto"/>
              <w:right w:val="single" w:sz="4" w:space="0" w:color="auto"/>
            </w:tcBorders>
          </w:tcPr>
          <w:p w:rsidR="00993A95" w:rsidRDefault="00993A95">
            <w:pPr>
              <w:pStyle w:val="a6"/>
            </w:pPr>
            <w:r>
              <w:t>Зона 3</w:t>
            </w:r>
          </w:p>
        </w:tc>
        <w:tc>
          <w:tcPr>
            <w:tcW w:w="3232" w:type="dxa"/>
            <w:tcBorders>
              <w:top w:val="single" w:sz="4" w:space="0" w:color="auto"/>
              <w:left w:val="single" w:sz="4" w:space="0" w:color="auto"/>
              <w:bottom w:val="single" w:sz="4" w:space="0" w:color="auto"/>
            </w:tcBorders>
          </w:tcPr>
          <w:p w:rsidR="00993A95" w:rsidRDefault="00993A95">
            <w:pPr>
              <w:pStyle w:val="a5"/>
              <w:jc w:val="center"/>
            </w:pPr>
            <w:r>
              <w:t>2,85</w:t>
            </w:r>
          </w:p>
        </w:tc>
      </w:tr>
    </w:tbl>
    <w:p w:rsidR="00993A95" w:rsidRDefault="00993A95"/>
    <w:p w:rsidR="00993A95" w:rsidRDefault="00993A95">
      <w:r>
        <w:t>При размещении рекламной конструкции на пересечении улиц, относящихся к различным зонам, применяется коэффициент К1, имеющий большее значение.</w:t>
      </w:r>
    </w:p>
    <w:p w:rsidR="00993A95" w:rsidRDefault="00993A95">
      <w:r>
        <w:t>К2 - коэффициент, отражающий зависимость размера платы от площади информационного поля рекламной конструкции:</w:t>
      </w:r>
    </w:p>
    <w:p w:rsidR="00993A95" w:rsidRDefault="00993A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8"/>
        <w:gridCol w:w="1888"/>
      </w:tblGrid>
      <w:tr w:rsidR="00993A95">
        <w:tblPrEx>
          <w:tblCellMar>
            <w:top w:w="0" w:type="dxa"/>
            <w:bottom w:w="0" w:type="dxa"/>
          </w:tblCellMar>
        </w:tblPrEx>
        <w:tc>
          <w:tcPr>
            <w:tcW w:w="5338" w:type="dxa"/>
            <w:tcBorders>
              <w:top w:val="single" w:sz="4" w:space="0" w:color="auto"/>
              <w:bottom w:val="single" w:sz="4" w:space="0" w:color="auto"/>
              <w:right w:val="single" w:sz="4" w:space="0" w:color="auto"/>
            </w:tcBorders>
          </w:tcPr>
          <w:p w:rsidR="00993A95" w:rsidRDefault="00993A95">
            <w:pPr>
              <w:pStyle w:val="a5"/>
              <w:jc w:val="center"/>
            </w:pPr>
            <w:r>
              <w:t>Площадь информационного поля рекламной конструкции</w:t>
            </w:r>
          </w:p>
        </w:tc>
        <w:tc>
          <w:tcPr>
            <w:tcW w:w="1888" w:type="dxa"/>
            <w:tcBorders>
              <w:top w:val="single" w:sz="4" w:space="0" w:color="auto"/>
              <w:left w:val="single" w:sz="4" w:space="0" w:color="auto"/>
              <w:bottom w:val="single" w:sz="4" w:space="0" w:color="auto"/>
            </w:tcBorders>
          </w:tcPr>
          <w:p w:rsidR="00993A95" w:rsidRDefault="00993A95">
            <w:pPr>
              <w:pStyle w:val="a5"/>
              <w:jc w:val="center"/>
            </w:pPr>
            <w:r>
              <w:t>Значение коэффициента К2</w:t>
            </w:r>
          </w:p>
        </w:tc>
      </w:tr>
      <w:tr w:rsidR="00993A95">
        <w:tblPrEx>
          <w:tblCellMar>
            <w:top w:w="0" w:type="dxa"/>
            <w:bottom w:w="0" w:type="dxa"/>
          </w:tblCellMar>
        </w:tblPrEx>
        <w:tc>
          <w:tcPr>
            <w:tcW w:w="5338" w:type="dxa"/>
            <w:tcBorders>
              <w:top w:val="single" w:sz="4" w:space="0" w:color="auto"/>
              <w:bottom w:val="single" w:sz="4" w:space="0" w:color="auto"/>
              <w:right w:val="single" w:sz="4" w:space="0" w:color="auto"/>
            </w:tcBorders>
          </w:tcPr>
          <w:p w:rsidR="00993A95" w:rsidRDefault="00993A95">
            <w:pPr>
              <w:pStyle w:val="a6"/>
            </w:pPr>
            <w:r>
              <w:t>До 12 кв. м включительно</w:t>
            </w:r>
          </w:p>
        </w:tc>
        <w:tc>
          <w:tcPr>
            <w:tcW w:w="1888" w:type="dxa"/>
            <w:tcBorders>
              <w:top w:val="single" w:sz="4" w:space="0" w:color="auto"/>
              <w:left w:val="single" w:sz="4" w:space="0" w:color="auto"/>
              <w:bottom w:val="single" w:sz="4" w:space="0" w:color="auto"/>
            </w:tcBorders>
          </w:tcPr>
          <w:p w:rsidR="00993A95" w:rsidRDefault="00993A95">
            <w:pPr>
              <w:pStyle w:val="a5"/>
              <w:jc w:val="center"/>
            </w:pPr>
            <w:r>
              <w:t>1.0</w:t>
            </w:r>
          </w:p>
        </w:tc>
      </w:tr>
      <w:tr w:rsidR="00993A95">
        <w:tblPrEx>
          <w:tblCellMar>
            <w:top w:w="0" w:type="dxa"/>
            <w:bottom w:w="0" w:type="dxa"/>
          </w:tblCellMar>
        </w:tblPrEx>
        <w:tc>
          <w:tcPr>
            <w:tcW w:w="5338" w:type="dxa"/>
            <w:tcBorders>
              <w:top w:val="single" w:sz="4" w:space="0" w:color="auto"/>
              <w:bottom w:val="single" w:sz="4" w:space="0" w:color="auto"/>
              <w:right w:val="single" w:sz="4" w:space="0" w:color="auto"/>
            </w:tcBorders>
          </w:tcPr>
          <w:p w:rsidR="00993A95" w:rsidRDefault="00993A95">
            <w:pPr>
              <w:pStyle w:val="a6"/>
            </w:pPr>
            <w:r>
              <w:t>От 13 до 17 кв. м включительно</w:t>
            </w:r>
          </w:p>
        </w:tc>
        <w:tc>
          <w:tcPr>
            <w:tcW w:w="1888" w:type="dxa"/>
            <w:tcBorders>
              <w:top w:val="single" w:sz="4" w:space="0" w:color="auto"/>
              <w:left w:val="single" w:sz="4" w:space="0" w:color="auto"/>
              <w:bottom w:val="single" w:sz="4" w:space="0" w:color="auto"/>
            </w:tcBorders>
          </w:tcPr>
          <w:p w:rsidR="00993A95" w:rsidRDefault="00993A95">
            <w:pPr>
              <w:pStyle w:val="a5"/>
              <w:jc w:val="center"/>
            </w:pPr>
            <w:r>
              <w:t>0,9</w:t>
            </w:r>
          </w:p>
        </w:tc>
      </w:tr>
      <w:tr w:rsidR="00993A95">
        <w:tblPrEx>
          <w:tblCellMar>
            <w:top w:w="0" w:type="dxa"/>
            <w:bottom w:w="0" w:type="dxa"/>
          </w:tblCellMar>
        </w:tblPrEx>
        <w:tc>
          <w:tcPr>
            <w:tcW w:w="5338" w:type="dxa"/>
            <w:tcBorders>
              <w:top w:val="single" w:sz="4" w:space="0" w:color="auto"/>
              <w:bottom w:val="single" w:sz="4" w:space="0" w:color="auto"/>
              <w:right w:val="single" w:sz="4" w:space="0" w:color="auto"/>
            </w:tcBorders>
          </w:tcPr>
          <w:p w:rsidR="00993A95" w:rsidRDefault="00993A95">
            <w:pPr>
              <w:pStyle w:val="a6"/>
            </w:pPr>
            <w:r>
              <w:t>Более 18 кв. м</w:t>
            </w:r>
          </w:p>
        </w:tc>
        <w:tc>
          <w:tcPr>
            <w:tcW w:w="1888" w:type="dxa"/>
            <w:tcBorders>
              <w:top w:val="single" w:sz="4" w:space="0" w:color="auto"/>
              <w:left w:val="single" w:sz="4" w:space="0" w:color="auto"/>
              <w:bottom w:val="single" w:sz="4" w:space="0" w:color="auto"/>
            </w:tcBorders>
          </w:tcPr>
          <w:p w:rsidR="00993A95" w:rsidRDefault="00993A95">
            <w:pPr>
              <w:pStyle w:val="a5"/>
              <w:jc w:val="center"/>
            </w:pPr>
            <w:r>
              <w:t>0,8</w:t>
            </w:r>
          </w:p>
        </w:tc>
      </w:tr>
      <w:tr w:rsidR="00993A95">
        <w:tblPrEx>
          <w:tblCellMar>
            <w:top w:w="0" w:type="dxa"/>
            <w:bottom w:w="0" w:type="dxa"/>
          </w:tblCellMar>
        </w:tblPrEx>
        <w:tc>
          <w:tcPr>
            <w:tcW w:w="5338" w:type="dxa"/>
            <w:tcBorders>
              <w:top w:val="single" w:sz="4" w:space="0" w:color="auto"/>
              <w:bottom w:val="single" w:sz="4" w:space="0" w:color="auto"/>
              <w:right w:val="single" w:sz="4" w:space="0" w:color="auto"/>
            </w:tcBorders>
          </w:tcPr>
          <w:p w:rsidR="00993A95" w:rsidRDefault="00993A95">
            <w:pPr>
              <w:pStyle w:val="a6"/>
            </w:pPr>
            <w:r>
              <w:t>Световые короба, аншлаги (в независимости от площади)</w:t>
            </w:r>
          </w:p>
        </w:tc>
        <w:tc>
          <w:tcPr>
            <w:tcW w:w="1888" w:type="dxa"/>
            <w:tcBorders>
              <w:top w:val="single" w:sz="4" w:space="0" w:color="auto"/>
              <w:left w:val="single" w:sz="4" w:space="0" w:color="auto"/>
              <w:bottom w:val="single" w:sz="4" w:space="0" w:color="auto"/>
            </w:tcBorders>
          </w:tcPr>
          <w:p w:rsidR="00993A95" w:rsidRDefault="00993A95">
            <w:pPr>
              <w:pStyle w:val="a5"/>
              <w:jc w:val="center"/>
            </w:pPr>
            <w:r>
              <w:t>0,9</w:t>
            </w:r>
          </w:p>
        </w:tc>
      </w:tr>
      <w:tr w:rsidR="00993A95">
        <w:tblPrEx>
          <w:tblCellMar>
            <w:top w:w="0" w:type="dxa"/>
            <w:bottom w:w="0" w:type="dxa"/>
          </w:tblCellMar>
        </w:tblPrEx>
        <w:tc>
          <w:tcPr>
            <w:tcW w:w="5338" w:type="dxa"/>
            <w:tcBorders>
              <w:top w:val="single" w:sz="4" w:space="0" w:color="auto"/>
              <w:bottom w:val="single" w:sz="4" w:space="0" w:color="auto"/>
              <w:right w:val="single" w:sz="4" w:space="0" w:color="auto"/>
            </w:tcBorders>
          </w:tcPr>
          <w:p w:rsidR="00993A95" w:rsidRDefault="00993A95">
            <w:pPr>
              <w:pStyle w:val="a6"/>
            </w:pPr>
            <w:r>
              <w:t>Щитовые конструкции (в независимости от площади)</w:t>
            </w:r>
          </w:p>
        </w:tc>
        <w:tc>
          <w:tcPr>
            <w:tcW w:w="1888" w:type="dxa"/>
            <w:tcBorders>
              <w:top w:val="single" w:sz="4" w:space="0" w:color="auto"/>
              <w:left w:val="single" w:sz="4" w:space="0" w:color="auto"/>
              <w:bottom w:val="single" w:sz="4" w:space="0" w:color="auto"/>
            </w:tcBorders>
          </w:tcPr>
          <w:p w:rsidR="00993A95" w:rsidRDefault="00993A95">
            <w:pPr>
              <w:pStyle w:val="a5"/>
              <w:jc w:val="center"/>
            </w:pPr>
            <w:r>
              <w:t>0,8</w:t>
            </w:r>
          </w:p>
        </w:tc>
      </w:tr>
      <w:tr w:rsidR="00993A95">
        <w:tblPrEx>
          <w:tblCellMar>
            <w:top w:w="0" w:type="dxa"/>
            <w:bottom w:w="0" w:type="dxa"/>
          </w:tblCellMar>
        </w:tblPrEx>
        <w:tc>
          <w:tcPr>
            <w:tcW w:w="5338" w:type="dxa"/>
            <w:tcBorders>
              <w:top w:val="single" w:sz="4" w:space="0" w:color="auto"/>
              <w:bottom w:val="single" w:sz="4" w:space="0" w:color="auto"/>
              <w:right w:val="single" w:sz="4" w:space="0" w:color="auto"/>
            </w:tcBorders>
          </w:tcPr>
          <w:p w:rsidR="00993A95" w:rsidRDefault="00993A95">
            <w:pPr>
              <w:pStyle w:val="a6"/>
            </w:pPr>
            <w:r>
              <w:t>Электронные экраны (в независимости от площади)</w:t>
            </w:r>
          </w:p>
        </w:tc>
        <w:tc>
          <w:tcPr>
            <w:tcW w:w="1888" w:type="dxa"/>
            <w:tcBorders>
              <w:top w:val="single" w:sz="4" w:space="0" w:color="auto"/>
              <w:left w:val="single" w:sz="4" w:space="0" w:color="auto"/>
              <w:bottom w:val="single" w:sz="4" w:space="0" w:color="auto"/>
            </w:tcBorders>
          </w:tcPr>
          <w:p w:rsidR="00993A95" w:rsidRDefault="00993A95">
            <w:pPr>
              <w:pStyle w:val="a5"/>
              <w:jc w:val="center"/>
            </w:pPr>
            <w:r>
              <w:t>3,6</w:t>
            </w:r>
          </w:p>
        </w:tc>
      </w:tr>
    </w:tbl>
    <w:p w:rsidR="00993A95" w:rsidRDefault="00993A95"/>
    <w:p w:rsidR="00993A95" w:rsidRDefault="00993A95">
      <w:r>
        <w:t>КЗ - коэффициент, учитывающий особенности размещения отдельных типов рекламных конструкций:</w:t>
      </w:r>
    </w:p>
    <w:p w:rsidR="00993A95" w:rsidRDefault="00993A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2"/>
        <w:gridCol w:w="2624"/>
      </w:tblGrid>
      <w:tr w:rsidR="00993A95">
        <w:tblPrEx>
          <w:tblCellMar>
            <w:top w:w="0" w:type="dxa"/>
            <w:bottom w:w="0" w:type="dxa"/>
          </w:tblCellMar>
        </w:tblPrEx>
        <w:tc>
          <w:tcPr>
            <w:tcW w:w="6422" w:type="dxa"/>
            <w:tcBorders>
              <w:top w:val="single" w:sz="4" w:space="0" w:color="auto"/>
              <w:bottom w:val="single" w:sz="4" w:space="0" w:color="auto"/>
              <w:right w:val="single" w:sz="4" w:space="0" w:color="auto"/>
            </w:tcBorders>
          </w:tcPr>
          <w:p w:rsidR="00993A95" w:rsidRDefault="00993A95">
            <w:pPr>
              <w:pStyle w:val="a5"/>
              <w:jc w:val="center"/>
            </w:pPr>
            <w:r>
              <w:t>Типы рекламных конструкций</w:t>
            </w:r>
          </w:p>
        </w:tc>
        <w:tc>
          <w:tcPr>
            <w:tcW w:w="2624" w:type="dxa"/>
            <w:tcBorders>
              <w:top w:val="single" w:sz="4" w:space="0" w:color="auto"/>
              <w:left w:val="single" w:sz="4" w:space="0" w:color="auto"/>
              <w:bottom w:val="single" w:sz="4" w:space="0" w:color="auto"/>
            </w:tcBorders>
          </w:tcPr>
          <w:p w:rsidR="00993A95" w:rsidRDefault="00993A95">
            <w:pPr>
              <w:pStyle w:val="a5"/>
              <w:jc w:val="center"/>
            </w:pPr>
            <w:r>
              <w:t>Значение коэффициента КЗ</w:t>
            </w:r>
          </w:p>
        </w:tc>
      </w:tr>
      <w:tr w:rsidR="00993A95">
        <w:tblPrEx>
          <w:tblCellMar>
            <w:top w:w="0" w:type="dxa"/>
            <w:bottom w:w="0" w:type="dxa"/>
          </w:tblCellMar>
        </w:tblPrEx>
        <w:tc>
          <w:tcPr>
            <w:tcW w:w="6422" w:type="dxa"/>
            <w:tcBorders>
              <w:top w:val="single" w:sz="4" w:space="0" w:color="auto"/>
              <w:bottom w:val="single" w:sz="4" w:space="0" w:color="auto"/>
              <w:right w:val="single" w:sz="4" w:space="0" w:color="auto"/>
            </w:tcBorders>
          </w:tcPr>
          <w:p w:rsidR="00993A95" w:rsidRDefault="00993A95">
            <w:pPr>
              <w:pStyle w:val="a6"/>
            </w:pPr>
            <w:r>
              <w:t>Световые короба, аншлаги</w:t>
            </w:r>
          </w:p>
        </w:tc>
        <w:tc>
          <w:tcPr>
            <w:tcW w:w="2624" w:type="dxa"/>
            <w:tcBorders>
              <w:top w:val="single" w:sz="4" w:space="0" w:color="auto"/>
              <w:left w:val="single" w:sz="4" w:space="0" w:color="auto"/>
              <w:bottom w:val="single" w:sz="4" w:space="0" w:color="auto"/>
            </w:tcBorders>
          </w:tcPr>
          <w:p w:rsidR="00993A95" w:rsidRDefault="00993A95">
            <w:pPr>
              <w:pStyle w:val="a5"/>
              <w:jc w:val="center"/>
            </w:pPr>
            <w:r>
              <w:t>0,6</w:t>
            </w:r>
          </w:p>
        </w:tc>
      </w:tr>
      <w:tr w:rsidR="00993A95">
        <w:tblPrEx>
          <w:tblCellMar>
            <w:top w:w="0" w:type="dxa"/>
            <w:bottom w:w="0" w:type="dxa"/>
          </w:tblCellMar>
        </w:tblPrEx>
        <w:tc>
          <w:tcPr>
            <w:tcW w:w="6422" w:type="dxa"/>
            <w:tcBorders>
              <w:top w:val="single" w:sz="4" w:space="0" w:color="auto"/>
              <w:bottom w:val="single" w:sz="4" w:space="0" w:color="auto"/>
              <w:right w:val="single" w:sz="4" w:space="0" w:color="auto"/>
            </w:tcBorders>
          </w:tcPr>
          <w:p w:rsidR="00993A95" w:rsidRDefault="00993A95">
            <w:pPr>
              <w:pStyle w:val="a6"/>
            </w:pPr>
            <w:r>
              <w:t>Доски объявлений</w:t>
            </w:r>
          </w:p>
        </w:tc>
        <w:tc>
          <w:tcPr>
            <w:tcW w:w="2624" w:type="dxa"/>
            <w:tcBorders>
              <w:top w:val="single" w:sz="4" w:space="0" w:color="auto"/>
              <w:left w:val="single" w:sz="4" w:space="0" w:color="auto"/>
              <w:bottom w:val="single" w:sz="4" w:space="0" w:color="auto"/>
            </w:tcBorders>
          </w:tcPr>
          <w:p w:rsidR="00993A95" w:rsidRDefault="00993A95">
            <w:pPr>
              <w:pStyle w:val="a5"/>
              <w:jc w:val="center"/>
            </w:pPr>
            <w:r>
              <w:t>0,3</w:t>
            </w:r>
          </w:p>
        </w:tc>
      </w:tr>
      <w:tr w:rsidR="00993A95">
        <w:tblPrEx>
          <w:tblCellMar>
            <w:top w:w="0" w:type="dxa"/>
            <w:bottom w:w="0" w:type="dxa"/>
          </w:tblCellMar>
        </w:tblPrEx>
        <w:tc>
          <w:tcPr>
            <w:tcW w:w="6422" w:type="dxa"/>
            <w:tcBorders>
              <w:top w:val="single" w:sz="4" w:space="0" w:color="auto"/>
              <w:bottom w:val="single" w:sz="4" w:space="0" w:color="auto"/>
              <w:right w:val="single" w:sz="4" w:space="0" w:color="auto"/>
            </w:tcBorders>
          </w:tcPr>
          <w:p w:rsidR="00993A95" w:rsidRDefault="00993A95">
            <w:pPr>
              <w:pStyle w:val="a6"/>
            </w:pPr>
            <w:r>
              <w:t>Настенные панно, пилоны, пилларсы</w:t>
            </w:r>
          </w:p>
        </w:tc>
        <w:tc>
          <w:tcPr>
            <w:tcW w:w="2624" w:type="dxa"/>
            <w:tcBorders>
              <w:top w:val="single" w:sz="4" w:space="0" w:color="auto"/>
              <w:left w:val="single" w:sz="4" w:space="0" w:color="auto"/>
              <w:bottom w:val="single" w:sz="4" w:space="0" w:color="auto"/>
            </w:tcBorders>
          </w:tcPr>
          <w:p w:rsidR="00993A95" w:rsidRDefault="00993A95">
            <w:pPr>
              <w:pStyle w:val="a5"/>
              <w:jc w:val="center"/>
            </w:pPr>
            <w:r>
              <w:t>0,75</w:t>
            </w:r>
          </w:p>
        </w:tc>
      </w:tr>
      <w:tr w:rsidR="00993A95">
        <w:tblPrEx>
          <w:tblCellMar>
            <w:top w:w="0" w:type="dxa"/>
            <w:bottom w:w="0" w:type="dxa"/>
          </w:tblCellMar>
        </w:tblPrEx>
        <w:tc>
          <w:tcPr>
            <w:tcW w:w="6422" w:type="dxa"/>
            <w:tcBorders>
              <w:top w:val="single" w:sz="4" w:space="0" w:color="auto"/>
              <w:bottom w:val="single" w:sz="4" w:space="0" w:color="auto"/>
              <w:right w:val="single" w:sz="4" w:space="0" w:color="auto"/>
            </w:tcBorders>
          </w:tcPr>
          <w:p w:rsidR="00993A95" w:rsidRDefault="00993A95">
            <w:pPr>
              <w:pStyle w:val="a6"/>
            </w:pPr>
            <w:r>
              <w:lastRenderedPageBreak/>
              <w:t>Настенные панно (брандмауэр) более 10 кв. м</w:t>
            </w:r>
          </w:p>
        </w:tc>
        <w:tc>
          <w:tcPr>
            <w:tcW w:w="2624" w:type="dxa"/>
            <w:tcBorders>
              <w:top w:val="single" w:sz="4" w:space="0" w:color="auto"/>
              <w:left w:val="single" w:sz="4" w:space="0" w:color="auto"/>
              <w:bottom w:val="single" w:sz="4" w:space="0" w:color="auto"/>
            </w:tcBorders>
          </w:tcPr>
          <w:p w:rsidR="00993A95" w:rsidRDefault="00993A95">
            <w:pPr>
              <w:pStyle w:val="a5"/>
              <w:jc w:val="center"/>
            </w:pPr>
            <w:r>
              <w:t>0,3</w:t>
            </w:r>
          </w:p>
        </w:tc>
      </w:tr>
      <w:tr w:rsidR="00993A95">
        <w:tblPrEx>
          <w:tblCellMar>
            <w:top w:w="0" w:type="dxa"/>
            <w:bottom w:w="0" w:type="dxa"/>
          </w:tblCellMar>
        </w:tblPrEx>
        <w:tc>
          <w:tcPr>
            <w:tcW w:w="6422" w:type="dxa"/>
            <w:tcBorders>
              <w:top w:val="single" w:sz="4" w:space="0" w:color="auto"/>
              <w:bottom w:val="single" w:sz="4" w:space="0" w:color="auto"/>
              <w:right w:val="single" w:sz="4" w:space="0" w:color="auto"/>
            </w:tcBorders>
          </w:tcPr>
          <w:p w:rsidR="00993A95" w:rsidRDefault="00993A95">
            <w:pPr>
              <w:pStyle w:val="a6"/>
            </w:pPr>
            <w:r>
              <w:t>Рекламные конструкции на ограждении для афиш, рекламные конструкции для афиш нестандартные</w:t>
            </w:r>
          </w:p>
        </w:tc>
        <w:tc>
          <w:tcPr>
            <w:tcW w:w="2624" w:type="dxa"/>
            <w:tcBorders>
              <w:top w:val="single" w:sz="4" w:space="0" w:color="auto"/>
              <w:left w:val="single" w:sz="4" w:space="0" w:color="auto"/>
              <w:bottom w:val="single" w:sz="4" w:space="0" w:color="auto"/>
            </w:tcBorders>
          </w:tcPr>
          <w:p w:rsidR="00993A95" w:rsidRDefault="00993A95">
            <w:pPr>
              <w:pStyle w:val="a5"/>
              <w:jc w:val="center"/>
            </w:pPr>
            <w:r>
              <w:t>0,8</w:t>
            </w:r>
          </w:p>
        </w:tc>
      </w:tr>
      <w:tr w:rsidR="00993A95">
        <w:tblPrEx>
          <w:tblCellMar>
            <w:top w:w="0" w:type="dxa"/>
            <w:bottom w:w="0" w:type="dxa"/>
          </w:tblCellMar>
        </w:tblPrEx>
        <w:tc>
          <w:tcPr>
            <w:tcW w:w="6422" w:type="dxa"/>
            <w:tcBorders>
              <w:top w:val="single" w:sz="4" w:space="0" w:color="auto"/>
              <w:bottom w:val="single" w:sz="4" w:space="0" w:color="auto"/>
              <w:right w:val="single" w:sz="4" w:space="0" w:color="auto"/>
            </w:tcBorders>
          </w:tcPr>
          <w:p w:rsidR="00993A95" w:rsidRDefault="00993A95">
            <w:pPr>
              <w:pStyle w:val="a6"/>
            </w:pPr>
            <w:r>
              <w:t>Электронные экраны</w:t>
            </w:r>
          </w:p>
        </w:tc>
        <w:tc>
          <w:tcPr>
            <w:tcW w:w="2624" w:type="dxa"/>
            <w:tcBorders>
              <w:top w:val="single" w:sz="4" w:space="0" w:color="auto"/>
              <w:left w:val="single" w:sz="4" w:space="0" w:color="auto"/>
              <w:bottom w:val="single" w:sz="4" w:space="0" w:color="auto"/>
            </w:tcBorders>
          </w:tcPr>
          <w:p w:rsidR="00993A95" w:rsidRDefault="00993A95">
            <w:pPr>
              <w:pStyle w:val="a5"/>
              <w:jc w:val="center"/>
            </w:pPr>
            <w:r>
              <w:t>4</w:t>
            </w:r>
          </w:p>
        </w:tc>
      </w:tr>
      <w:tr w:rsidR="00993A95">
        <w:tblPrEx>
          <w:tblCellMar>
            <w:top w:w="0" w:type="dxa"/>
            <w:bottom w:w="0" w:type="dxa"/>
          </w:tblCellMar>
        </w:tblPrEx>
        <w:tc>
          <w:tcPr>
            <w:tcW w:w="6422" w:type="dxa"/>
            <w:tcBorders>
              <w:top w:val="single" w:sz="4" w:space="0" w:color="auto"/>
              <w:bottom w:val="single" w:sz="4" w:space="0" w:color="auto"/>
              <w:right w:val="single" w:sz="4" w:space="0" w:color="auto"/>
            </w:tcBorders>
          </w:tcPr>
          <w:p w:rsidR="00993A95" w:rsidRDefault="00993A95">
            <w:pPr>
              <w:pStyle w:val="a6"/>
            </w:pPr>
            <w:r>
              <w:t>В остальных случаях</w:t>
            </w:r>
          </w:p>
        </w:tc>
        <w:tc>
          <w:tcPr>
            <w:tcW w:w="2624" w:type="dxa"/>
            <w:tcBorders>
              <w:top w:val="single" w:sz="4" w:space="0" w:color="auto"/>
              <w:left w:val="single" w:sz="4" w:space="0" w:color="auto"/>
              <w:bottom w:val="single" w:sz="4" w:space="0" w:color="auto"/>
            </w:tcBorders>
          </w:tcPr>
          <w:p w:rsidR="00993A95" w:rsidRDefault="00993A95">
            <w:pPr>
              <w:pStyle w:val="a5"/>
              <w:jc w:val="center"/>
            </w:pPr>
            <w:r>
              <w:t>1,0</w:t>
            </w:r>
          </w:p>
        </w:tc>
      </w:tr>
    </w:tbl>
    <w:p w:rsidR="00993A95" w:rsidRDefault="00993A95"/>
    <w:tbl>
      <w:tblPr>
        <w:tblW w:w="0" w:type="auto"/>
        <w:tblInd w:w="108" w:type="dxa"/>
        <w:tblLook w:val="0000" w:firstRow="0" w:lastRow="0" w:firstColumn="0" w:lastColumn="0" w:noHBand="0" w:noVBand="0"/>
      </w:tblPr>
      <w:tblGrid>
        <w:gridCol w:w="6666"/>
        <w:gridCol w:w="3333"/>
      </w:tblGrid>
      <w:tr w:rsidR="00993A95">
        <w:tblPrEx>
          <w:tblCellMar>
            <w:top w:w="0" w:type="dxa"/>
            <w:bottom w:w="0" w:type="dxa"/>
          </w:tblCellMar>
        </w:tblPrEx>
        <w:tc>
          <w:tcPr>
            <w:tcW w:w="6666" w:type="dxa"/>
            <w:tcBorders>
              <w:top w:val="nil"/>
              <w:left w:val="nil"/>
              <w:bottom w:val="nil"/>
              <w:right w:val="nil"/>
            </w:tcBorders>
          </w:tcPr>
          <w:p w:rsidR="00993A95" w:rsidRDefault="00993A95">
            <w:pPr>
              <w:pStyle w:val="a6"/>
            </w:pPr>
            <w:r>
              <w:t>начальник управления</w:t>
            </w:r>
            <w:r>
              <w:br/>
              <w:t>имущественных отношений</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993A95" w:rsidRDefault="00993A95">
            <w:pPr>
              <w:pStyle w:val="a5"/>
              <w:jc w:val="right"/>
            </w:pPr>
            <w:r>
              <w:t>Л. Черниченко</w:t>
            </w:r>
          </w:p>
        </w:tc>
      </w:tr>
    </w:tbl>
    <w:p w:rsidR="00993A95" w:rsidRDefault="00993A95"/>
    <w:p w:rsidR="00993A95" w:rsidRDefault="00993A95">
      <w:pPr>
        <w:ind w:firstLine="698"/>
        <w:jc w:val="right"/>
      </w:pPr>
      <w:bookmarkStart w:id="8" w:name="sub_2000"/>
      <w:r>
        <w:rPr>
          <w:rStyle w:val="a3"/>
          <w:bCs/>
        </w:rPr>
        <w:t>Приложение N 2</w:t>
      </w:r>
      <w:r>
        <w:rPr>
          <w:rStyle w:val="a3"/>
          <w:bCs/>
        </w:rPr>
        <w:br/>
        <w:t xml:space="preserve">к </w:t>
      </w:r>
      <w:hyperlink w:anchor="sub_0" w:history="1">
        <w:r>
          <w:rPr>
            <w:rStyle w:val="a4"/>
            <w:rFonts w:cs="Arial"/>
          </w:rPr>
          <w:t>постановлению</w:t>
        </w:r>
      </w:hyperlink>
      <w:r>
        <w:rPr>
          <w:rStyle w:val="a3"/>
          <w:bCs/>
        </w:rPr>
        <w:t xml:space="preserve"> администрации</w:t>
      </w:r>
      <w:r>
        <w:rPr>
          <w:rStyle w:val="a3"/>
          <w:bCs/>
        </w:rPr>
        <w:br/>
        <w:t>муниципального образования</w:t>
      </w:r>
      <w:r>
        <w:rPr>
          <w:rStyle w:val="a3"/>
          <w:bCs/>
        </w:rPr>
        <w:br/>
        <w:t>город-курорт Анапа</w:t>
      </w:r>
      <w:r>
        <w:rPr>
          <w:rStyle w:val="a3"/>
          <w:bCs/>
        </w:rPr>
        <w:br/>
        <w:t>от 16 апреля 2012 г. N 994</w:t>
      </w:r>
    </w:p>
    <w:bookmarkEnd w:id="8"/>
    <w:p w:rsidR="00993A95" w:rsidRDefault="00993A95"/>
    <w:p w:rsidR="00993A95" w:rsidRDefault="00993A95">
      <w:pPr>
        <w:pStyle w:val="1"/>
      </w:pPr>
      <w:r>
        <w:t>Зоны размещения рекламных конструкций на территории муниципального</w:t>
      </w:r>
      <w:r>
        <w:br/>
        <w:t>образования город-курорт Анапа</w:t>
      </w:r>
    </w:p>
    <w:p w:rsidR="00993A95" w:rsidRDefault="00993A95"/>
    <w:p w:rsidR="00993A95" w:rsidRDefault="00993A95">
      <w:r>
        <w:t>В целях определения платы за установку и эксплуатацию рекламной конструкции на объекте недвижимого имущества, находящегося в муниципальной собственности муниципального образования город-курорт Анапа, и применения коэффициента "К1" устанавливаются следующие зоны размещения рекламных конструкций:</w:t>
      </w:r>
    </w:p>
    <w:p w:rsidR="00993A95" w:rsidRDefault="00993A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
        <w:gridCol w:w="9110"/>
      </w:tblGrid>
      <w:tr w:rsidR="00993A95">
        <w:tblPrEx>
          <w:tblCellMar>
            <w:top w:w="0" w:type="dxa"/>
            <w:bottom w:w="0" w:type="dxa"/>
          </w:tblCellMar>
        </w:tblPrEx>
        <w:tc>
          <w:tcPr>
            <w:tcW w:w="934" w:type="dxa"/>
            <w:tcBorders>
              <w:top w:val="single" w:sz="4" w:space="0" w:color="auto"/>
              <w:bottom w:val="single" w:sz="4" w:space="0" w:color="auto"/>
              <w:right w:val="single" w:sz="4" w:space="0" w:color="auto"/>
            </w:tcBorders>
          </w:tcPr>
          <w:p w:rsidR="00993A95" w:rsidRDefault="00993A95">
            <w:pPr>
              <w:pStyle w:val="a5"/>
              <w:jc w:val="center"/>
            </w:pPr>
            <w:r>
              <w:t>N</w:t>
            </w:r>
          </w:p>
          <w:p w:rsidR="00993A95" w:rsidRDefault="00993A95">
            <w:pPr>
              <w:pStyle w:val="a5"/>
              <w:jc w:val="center"/>
            </w:pPr>
            <w:r>
              <w:t>зоны</w:t>
            </w:r>
          </w:p>
        </w:tc>
        <w:tc>
          <w:tcPr>
            <w:tcW w:w="9110" w:type="dxa"/>
            <w:tcBorders>
              <w:top w:val="single" w:sz="4" w:space="0" w:color="auto"/>
              <w:left w:val="single" w:sz="4" w:space="0" w:color="auto"/>
              <w:bottom w:val="single" w:sz="4" w:space="0" w:color="auto"/>
            </w:tcBorders>
          </w:tcPr>
          <w:p w:rsidR="00993A95" w:rsidRDefault="00993A95">
            <w:pPr>
              <w:pStyle w:val="a5"/>
              <w:jc w:val="center"/>
            </w:pPr>
            <w:r>
              <w:t>Наименование ориентира</w:t>
            </w:r>
          </w:p>
        </w:tc>
      </w:tr>
      <w:tr w:rsidR="00993A95">
        <w:tblPrEx>
          <w:tblCellMar>
            <w:top w:w="0" w:type="dxa"/>
            <w:bottom w:w="0" w:type="dxa"/>
          </w:tblCellMar>
        </w:tblPrEx>
        <w:tc>
          <w:tcPr>
            <w:tcW w:w="934" w:type="dxa"/>
            <w:tcBorders>
              <w:top w:val="single" w:sz="4" w:space="0" w:color="auto"/>
              <w:bottom w:val="single" w:sz="4" w:space="0" w:color="auto"/>
              <w:right w:val="single" w:sz="4" w:space="0" w:color="auto"/>
            </w:tcBorders>
          </w:tcPr>
          <w:p w:rsidR="00993A95" w:rsidRDefault="00993A95">
            <w:pPr>
              <w:pStyle w:val="a5"/>
              <w:jc w:val="center"/>
            </w:pPr>
            <w:r>
              <w:t>1</w:t>
            </w:r>
          </w:p>
        </w:tc>
        <w:tc>
          <w:tcPr>
            <w:tcW w:w="9110" w:type="dxa"/>
            <w:tcBorders>
              <w:top w:val="single" w:sz="4" w:space="0" w:color="auto"/>
              <w:left w:val="single" w:sz="4" w:space="0" w:color="auto"/>
              <w:bottom w:val="single" w:sz="4" w:space="0" w:color="auto"/>
            </w:tcBorders>
          </w:tcPr>
          <w:p w:rsidR="00993A95" w:rsidRDefault="00993A95">
            <w:pPr>
              <w:pStyle w:val="a5"/>
              <w:jc w:val="center"/>
            </w:pPr>
            <w:r>
              <w:t>2</w:t>
            </w:r>
          </w:p>
        </w:tc>
      </w:tr>
      <w:tr w:rsidR="00993A95">
        <w:tblPrEx>
          <w:tblCellMar>
            <w:top w:w="0" w:type="dxa"/>
            <w:bottom w:w="0" w:type="dxa"/>
          </w:tblCellMar>
        </w:tblPrEx>
        <w:tc>
          <w:tcPr>
            <w:tcW w:w="934" w:type="dxa"/>
            <w:tcBorders>
              <w:top w:val="single" w:sz="4" w:space="0" w:color="auto"/>
              <w:bottom w:val="single" w:sz="4" w:space="0" w:color="auto"/>
              <w:right w:val="single" w:sz="4" w:space="0" w:color="auto"/>
            </w:tcBorders>
          </w:tcPr>
          <w:p w:rsidR="00993A95" w:rsidRDefault="00993A95">
            <w:pPr>
              <w:pStyle w:val="a5"/>
              <w:jc w:val="center"/>
            </w:pPr>
            <w:r>
              <w:t>1</w:t>
            </w:r>
          </w:p>
        </w:tc>
        <w:tc>
          <w:tcPr>
            <w:tcW w:w="9110" w:type="dxa"/>
            <w:tcBorders>
              <w:top w:val="single" w:sz="4" w:space="0" w:color="auto"/>
              <w:left w:val="single" w:sz="4" w:space="0" w:color="auto"/>
              <w:bottom w:val="single" w:sz="4" w:space="0" w:color="auto"/>
            </w:tcBorders>
          </w:tcPr>
          <w:p w:rsidR="00993A95" w:rsidRDefault="00993A95">
            <w:pPr>
              <w:pStyle w:val="a6"/>
            </w:pPr>
            <w:r>
              <w:t>г. Анапа (кроме: автодороги М-25 "Новороссийск - Керченский пролив", хут. Чем бурка, с. Витязево, шоссе Анапское, ст-цы Благовещенская)</w:t>
            </w:r>
          </w:p>
        </w:tc>
      </w:tr>
      <w:tr w:rsidR="00993A95">
        <w:tblPrEx>
          <w:tblCellMar>
            <w:top w:w="0" w:type="dxa"/>
            <w:bottom w:w="0" w:type="dxa"/>
          </w:tblCellMar>
        </w:tblPrEx>
        <w:tc>
          <w:tcPr>
            <w:tcW w:w="934" w:type="dxa"/>
            <w:tcBorders>
              <w:top w:val="single" w:sz="4" w:space="0" w:color="auto"/>
              <w:bottom w:val="single" w:sz="4" w:space="0" w:color="auto"/>
              <w:right w:val="single" w:sz="4" w:space="0" w:color="auto"/>
            </w:tcBorders>
          </w:tcPr>
          <w:p w:rsidR="00993A95" w:rsidRDefault="00993A95">
            <w:pPr>
              <w:pStyle w:val="a5"/>
              <w:jc w:val="center"/>
            </w:pPr>
            <w:r>
              <w:t>2</w:t>
            </w:r>
          </w:p>
        </w:tc>
        <w:tc>
          <w:tcPr>
            <w:tcW w:w="9110" w:type="dxa"/>
            <w:tcBorders>
              <w:top w:val="single" w:sz="4" w:space="0" w:color="auto"/>
              <w:left w:val="single" w:sz="4" w:space="0" w:color="auto"/>
              <w:bottom w:val="single" w:sz="4" w:space="0" w:color="auto"/>
            </w:tcBorders>
          </w:tcPr>
          <w:p w:rsidR="00993A95" w:rsidRDefault="00993A95">
            <w:pPr>
              <w:pStyle w:val="a6"/>
            </w:pPr>
            <w:r>
              <w:t>ст-ца Анапская, ст-ца Благовещенская, с. Большой Утриш, с. Витязево, с. Супсех, с. Сукко, автодорога М-25 "Новороссийск - Керченский пролив" (в границах муниципального образования город-курорт Анапа), шоссе Анапское, автодорога Р-252 "Анапа - Гостагаевская"</w:t>
            </w:r>
          </w:p>
        </w:tc>
      </w:tr>
      <w:tr w:rsidR="00993A95">
        <w:tblPrEx>
          <w:tblCellMar>
            <w:top w:w="0" w:type="dxa"/>
            <w:bottom w:w="0" w:type="dxa"/>
          </w:tblCellMar>
        </w:tblPrEx>
        <w:tc>
          <w:tcPr>
            <w:tcW w:w="934" w:type="dxa"/>
            <w:tcBorders>
              <w:top w:val="single" w:sz="4" w:space="0" w:color="auto"/>
              <w:bottom w:val="single" w:sz="4" w:space="0" w:color="auto"/>
              <w:right w:val="single" w:sz="4" w:space="0" w:color="auto"/>
            </w:tcBorders>
          </w:tcPr>
          <w:p w:rsidR="00993A95" w:rsidRDefault="00993A95">
            <w:pPr>
              <w:pStyle w:val="a5"/>
              <w:jc w:val="center"/>
            </w:pPr>
            <w:r>
              <w:t>3</w:t>
            </w:r>
          </w:p>
        </w:tc>
        <w:tc>
          <w:tcPr>
            <w:tcW w:w="9110" w:type="dxa"/>
            <w:tcBorders>
              <w:top w:val="single" w:sz="4" w:space="0" w:color="auto"/>
              <w:left w:val="single" w:sz="4" w:space="0" w:color="auto"/>
              <w:bottom w:val="single" w:sz="4" w:space="0" w:color="auto"/>
            </w:tcBorders>
          </w:tcPr>
          <w:p w:rsidR="00993A95" w:rsidRDefault="00993A95">
            <w:pPr>
              <w:pStyle w:val="a6"/>
            </w:pPr>
            <w:r>
              <w:t>ст-ца Гостагаевская, пос. Виноградный, пос. Верхнее Джемете, пос. Просторный, пос. Суворов-Черкесский, пос. Пятихатки, пос. Уташ, хут. Большой Разнокол, хут. Бужор, хут. Верхний Ханчакрак, хут. Верхний Чекон, хут. Веселая Гора, хут. Вестник, с. Варваровка, с. Гай-Кодзор, с. Джигинка, с. Цибанобалка, с. Юровка, хут. Заря, хут. Воскресенский, хут. Иванов, хут. Капустин, хут. Коваленко, хут. Красная Горка, хут. Красная Скала, хут. Красный, хут. Красный Курган, хут. Куматырь, хут. Курбацкий, хут. Куток, хут. Малый Разнокол, хут. Малый Чекон, хут. Нижний Ханчакрак, хут. Нижняя Гостагайка, хут. Прикубанский, хут. Песчаный, хут. Рассвет, хут. Тарусин, хут. Розы Люксембург, хут. Усатова Балка, хут. Чекон, хут. Черный, хут. Уташ</w:t>
            </w:r>
          </w:p>
        </w:tc>
      </w:tr>
    </w:tbl>
    <w:p w:rsidR="00993A95" w:rsidRDefault="00993A95"/>
    <w:tbl>
      <w:tblPr>
        <w:tblW w:w="0" w:type="auto"/>
        <w:tblInd w:w="108" w:type="dxa"/>
        <w:tblLook w:val="0000" w:firstRow="0" w:lastRow="0" w:firstColumn="0" w:lastColumn="0" w:noHBand="0" w:noVBand="0"/>
      </w:tblPr>
      <w:tblGrid>
        <w:gridCol w:w="6666"/>
        <w:gridCol w:w="3333"/>
      </w:tblGrid>
      <w:tr w:rsidR="00993A95">
        <w:tblPrEx>
          <w:tblCellMar>
            <w:top w:w="0" w:type="dxa"/>
            <w:bottom w:w="0" w:type="dxa"/>
          </w:tblCellMar>
        </w:tblPrEx>
        <w:tc>
          <w:tcPr>
            <w:tcW w:w="6666" w:type="dxa"/>
            <w:tcBorders>
              <w:top w:val="nil"/>
              <w:left w:val="nil"/>
              <w:bottom w:val="nil"/>
              <w:right w:val="nil"/>
            </w:tcBorders>
          </w:tcPr>
          <w:p w:rsidR="00993A95" w:rsidRDefault="00993A95">
            <w:pPr>
              <w:pStyle w:val="a6"/>
            </w:pPr>
            <w:r>
              <w:t>начальник управления</w:t>
            </w:r>
            <w:r>
              <w:br/>
              <w:t>имущественных отношений</w:t>
            </w:r>
            <w:r>
              <w:br/>
              <w:t>администрации муниципального</w:t>
            </w:r>
            <w:r>
              <w:br/>
            </w:r>
            <w:r>
              <w:lastRenderedPageBreak/>
              <w:t>образования город-курорт Анапа</w:t>
            </w:r>
          </w:p>
        </w:tc>
        <w:tc>
          <w:tcPr>
            <w:tcW w:w="3333" w:type="dxa"/>
            <w:tcBorders>
              <w:top w:val="nil"/>
              <w:left w:val="nil"/>
              <w:bottom w:val="nil"/>
              <w:right w:val="nil"/>
            </w:tcBorders>
          </w:tcPr>
          <w:p w:rsidR="00993A95" w:rsidRDefault="00993A95">
            <w:pPr>
              <w:pStyle w:val="a5"/>
              <w:jc w:val="right"/>
            </w:pPr>
            <w:r>
              <w:lastRenderedPageBreak/>
              <w:t>Л. Черниченко</w:t>
            </w:r>
          </w:p>
        </w:tc>
      </w:tr>
    </w:tbl>
    <w:p w:rsidR="00993A95" w:rsidRDefault="00993A95"/>
    <w:sectPr w:rsidR="00993A9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24"/>
    <w:rsid w:val="001C74FE"/>
    <w:rsid w:val="00815E24"/>
    <w:rsid w:val="0099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3688.0" TargetMode="External"/><Relationship Id="rId3" Type="http://schemas.microsoft.com/office/2007/relationships/stylesWithEffects" Target="stylesWithEffects.xml"/><Relationship Id="rId7" Type="http://schemas.openxmlformats.org/officeDocument/2006/relationships/hyperlink" Target="garantF1://314071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1407144.6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5766</Characters>
  <Application>Microsoft Office Word</Application>
  <DocSecurity>0</DocSecurity>
  <Lines>48</Lines>
  <Paragraphs>13</Paragraphs>
  <ScaleCrop>false</ScaleCrop>
  <Company>НПП "Гарант-Сервис"</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2017-07-03T15:33:00Z</dcterms:created>
  <dcterms:modified xsi:type="dcterms:W3CDTF">2017-07-03T15:33:00Z</dcterms:modified>
</cp:coreProperties>
</file>