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2334AF" w:rsidRDefault="00F83392" w:rsidP="00541DCC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07F8">
        <w:rPr>
          <w:sz w:val="26"/>
          <w:szCs w:val="26"/>
        </w:rPr>
        <w:t>8</w:t>
      </w:r>
      <w:r>
        <w:rPr>
          <w:sz w:val="26"/>
          <w:szCs w:val="26"/>
        </w:rPr>
        <w:t xml:space="preserve"> марта 201</w:t>
      </w:r>
      <w:r w:rsidR="00D507F8">
        <w:rPr>
          <w:sz w:val="26"/>
          <w:szCs w:val="26"/>
        </w:rPr>
        <w:t>6</w:t>
      </w:r>
      <w:r w:rsidR="00541DCC" w:rsidRPr="00541DCC">
        <w:rPr>
          <w:sz w:val="26"/>
          <w:szCs w:val="26"/>
        </w:rPr>
        <w:t xml:space="preserve"> года                                           </w:t>
      </w:r>
      <w:r>
        <w:rPr>
          <w:sz w:val="26"/>
          <w:szCs w:val="26"/>
        </w:rPr>
        <w:t xml:space="preserve">               </w:t>
      </w:r>
      <w:r w:rsidR="00541DCC" w:rsidRPr="00541DCC">
        <w:rPr>
          <w:sz w:val="26"/>
          <w:szCs w:val="26"/>
        </w:rPr>
        <w:t xml:space="preserve">                       </w:t>
      </w:r>
      <w:r w:rsidR="00541DCC">
        <w:rPr>
          <w:sz w:val="26"/>
          <w:szCs w:val="26"/>
        </w:rPr>
        <w:t xml:space="preserve">                           № 1/</w:t>
      </w:r>
      <w:r w:rsidR="000C3451">
        <w:rPr>
          <w:sz w:val="26"/>
          <w:szCs w:val="26"/>
        </w:rPr>
        <w:t>9</w:t>
      </w:r>
      <w:bookmarkStart w:id="0" w:name="_GoBack"/>
      <w:bookmarkEnd w:id="0"/>
    </w:p>
    <w:p w:rsidR="00541DCC" w:rsidRPr="00E548AC" w:rsidRDefault="00541DC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784F50" w:rsidRPr="00E548AC" w:rsidRDefault="00F00EAD" w:rsidP="00A32D12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F00EAD">
        <w:rPr>
          <w:kern w:val="28"/>
          <w:sz w:val="26"/>
          <w:szCs w:val="26"/>
        </w:rPr>
        <w:t>О невыплате заработной платы ЗАО «Русская лоза»</w:t>
      </w:r>
    </w:p>
    <w:p w:rsidR="007C243D" w:rsidRPr="0030030B" w:rsidRDefault="007C243D" w:rsidP="0030030B">
      <w:pPr>
        <w:widowControl w:val="0"/>
        <w:ind w:firstLine="851"/>
        <w:jc w:val="both"/>
        <w:rPr>
          <w:sz w:val="26"/>
          <w:szCs w:val="26"/>
        </w:rPr>
      </w:pP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По состоянию на 28 марта 2016 года задолженность по заработной плате ЗАО «Русская лоза» составляет 13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510 тыс. рублей перед 126 работниками предприятия, в том числе реестровая – 7 млн 596 тыс. рублей, текущая – 5 млн 914 тыс. рублей.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>Предприятие признано банкротом, 8 августа 2013 года введено конкурсное производство. Предприятие деятельность не осуществляет. Задолженность по заработной плате будет погашаться за счет средств полученных от реализации конкурсной массы.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Предприятию на праве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долгосрочной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аренды принадлежит 2098 га сельскохозяйственных угодий, из которых 507 га виноградники, 1591 га - пашня. В 2013 году все работы на виноградниках были остановлены, что привело к гибели кустов. 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Предприятие было прибыльным до 2012 года, занималось  производством напитков, выращиванием винограда, производством виноградного вина, оптовой торговлей алкогольными и другими напитками. Однако, уже за 1-й квартал 2012 года был получен убыток в сумме 24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242 тыс. рублей. Мощности виноделия позволяло ежегодно производить свыше 2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дал вина, однако производство вина ежегодно падало. Так, в 2010 году было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произведено и реализовано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510 тыс. дал вина, в 2011 году – 349 тыс. дал, а за  2012 год объем производства и реализации вина составил всего 87 тыс. дал. С апреля 2012 года производство вина на предприятии было полностью прекращено. Основная причина убытка – резкое снижение объемов производства вина, а также высокие затраты по возврату долгосрочных и краткосрочных кредитов и  займов. 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Конкурсный управляющий – </w:t>
      </w:r>
      <w:proofErr w:type="spellStart"/>
      <w:r w:rsidRPr="00F00EAD">
        <w:rPr>
          <w:rFonts w:eastAsiaTheme="minorHAnsi"/>
          <w:sz w:val="26"/>
          <w:szCs w:val="26"/>
          <w:lang w:eastAsia="en-US"/>
        </w:rPr>
        <w:t>Щенев</w:t>
      </w:r>
      <w:proofErr w:type="spellEnd"/>
      <w:r w:rsidRPr="00F00EAD">
        <w:rPr>
          <w:rFonts w:eastAsiaTheme="minorHAnsi"/>
          <w:sz w:val="26"/>
          <w:szCs w:val="26"/>
          <w:lang w:eastAsia="en-US"/>
        </w:rPr>
        <w:t xml:space="preserve"> Дмитрий Михайлович, член НП «Союз менеджеров и антикризисных управляющих», город Москва.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Рыночная стоимость имущества составляет 556,7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рублей.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Торги по реализации части имущества (21 позиция, включающая объекты недвижимости, сооружения, цена 26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379 тыс. рублей), назначенные на 10 ноября 2015 года, 28 декабря 2015 года, признаны несостоявшимися в связи с отсутствием заявок.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Очередные торги в форме публичного предложения проводятся с 1 марта 2016 года по 27 мая 2016 года, начальная цена 23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741 тыс. рублей.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Торги по реализации части имущества (341 позиция, включающая оборудование, здания, сооружения, транспорт, ТМЦ, цена 32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341 тыс. рублей), назначенные на 27 мая 2015 года, 10 ноября 2015 года признаны несостоявшимися в связи с отсутствием заявок.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На торгах в форме публичного предложения, проведенных с 17 ноября 2015 года по 15 февраля 2016 года, данное имущество реализовано за 1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715 тыс. рублей (начальная цена 29 млн 107 тыс. рублей).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Основная часть средств полученных от продажи имущества (после поступления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средств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на расчетный счет конкурсного управляющего) будет направлена на финансирование текущих расходов по проведению процедуры банкротства. Согласно статье 138 Федерального закона от 26 октября 2002 года «О несостоятельности (банкротстве)» 15% от реализации залогового имущества направляется на погашение </w:t>
      </w:r>
      <w:r w:rsidRPr="00F00EAD">
        <w:rPr>
          <w:rFonts w:eastAsiaTheme="minorHAnsi"/>
          <w:sz w:val="26"/>
          <w:szCs w:val="26"/>
          <w:lang w:eastAsia="en-US"/>
        </w:rPr>
        <w:lastRenderedPageBreak/>
        <w:t xml:space="preserve">задолженности по заработной плате. Соответственно сумма 257 тыс. рублей (1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715 тыс. рублей x 15% = 257 тыс. рублей) будет распределена на погашение задолженности по заработной плате.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город-курорта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Анапа направлялись письма в </w:t>
      </w:r>
      <w:proofErr w:type="spellStart"/>
      <w:r w:rsidRPr="00F00EAD">
        <w:rPr>
          <w:rFonts w:eastAsiaTheme="minorHAnsi"/>
          <w:sz w:val="26"/>
          <w:szCs w:val="26"/>
          <w:lang w:eastAsia="en-US"/>
        </w:rPr>
        <w:t>Анапскую</w:t>
      </w:r>
      <w:proofErr w:type="spellEnd"/>
      <w:r w:rsidRPr="00F00EAD">
        <w:rPr>
          <w:rFonts w:eastAsiaTheme="minorHAnsi"/>
          <w:sz w:val="26"/>
          <w:szCs w:val="26"/>
          <w:lang w:eastAsia="en-US"/>
        </w:rPr>
        <w:t xml:space="preserve"> межрайонную прокуратуру  о наличии задолженности по заработной плате перед работниками ЗАО «Русская Лоза» и о рассмотрении вопроса правомерности действий конкурсного управляющего Д.М. </w:t>
      </w:r>
      <w:proofErr w:type="spellStart"/>
      <w:r w:rsidRPr="00F00EAD">
        <w:rPr>
          <w:rFonts w:eastAsiaTheme="minorHAnsi"/>
          <w:sz w:val="26"/>
          <w:szCs w:val="26"/>
          <w:lang w:eastAsia="en-US"/>
        </w:rPr>
        <w:t>Щенева</w:t>
      </w:r>
      <w:proofErr w:type="spellEnd"/>
      <w:r w:rsidRPr="00F00EAD">
        <w:rPr>
          <w:rFonts w:eastAsiaTheme="minorHAnsi"/>
          <w:sz w:val="26"/>
          <w:szCs w:val="26"/>
          <w:lang w:eastAsia="en-US"/>
        </w:rPr>
        <w:t>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>Кроме того, 15 марта 2016 года проведена рабочая встреча с конкурсным управляющим ЗАО «Русская Лоза», в ходе которой конкурсный управляющий пояснил, что в состав конкурсной массы включено: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земельный участок, здания, сооружения, оборудование, цена – 263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71 тыс. рублей (лот № 1);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права аренды на 11 земельных участков, оцененные в 230,3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рублей (формирование лота планируется).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По информации конкурсного управляющего проведение торгов в форме публичного предложения планируется не ранее мая 2016 года, после утверждения кредиторами начальной и минимальной цены. По предварительной договоренности с кредиторами нижний порог реализации будет не менее 200 </w:t>
      </w:r>
      <w:proofErr w:type="gramStart"/>
      <w:r w:rsidRPr="00F00EAD">
        <w:rPr>
          <w:rFonts w:eastAsiaTheme="minorHAnsi"/>
          <w:sz w:val="26"/>
          <w:szCs w:val="26"/>
          <w:lang w:eastAsia="en-US"/>
        </w:rPr>
        <w:t>млн</w:t>
      </w:r>
      <w:proofErr w:type="gramEnd"/>
      <w:r w:rsidRPr="00F00EAD">
        <w:rPr>
          <w:rFonts w:eastAsiaTheme="minorHAnsi"/>
          <w:sz w:val="26"/>
          <w:szCs w:val="26"/>
          <w:lang w:eastAsia="en-US"/>
        </w:rPr>
        <w:t xml:space="preserve"> рублей, 15% от полученных средств будет направлено на погашение задолженности по заработной плате. В случае недостаточности средств на погашение задолженности будут направлены средства от реализации права аренды земельных участков.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 xml:space="preserve">С целью привлечения инвесторов информация об имущественном комплексе предприятия ЗАО «Русская Лоза» размещена на официальном сайте администрации муниципального образования город-курорт Анапа. Кроме того, администрацией муниципального образования город-курорт Анапа прорабатывается возможность включения в Единый реестр инвестиционных проектов Краснодарского края инвестиционный проект винзавода, как инвестиционный проект, сформированный на базе </w:t>
      </w:r>
      <w:proofErr w:type="spellStart"/>
      <w:r w:rsidRPr="00F00EAD">
        <w:rPr>
          <w:rFonts w:eastAsiaTheme="minorHAnsi"/>
          <w:sz w:val="26"/>
          <w:szCs w:val="26"/>
          <w:lang w:eastAsia="en-US"/>
        </w:rPr>
        <w:t>банкротного</w:t>
      </w:r>
      <w:proofErr w:type="spellEnd"/>
      <w:r w:rsidRPr="00F00EAD">
        <w:rPr>
          <w:rFonts w:eastAsiaTheme="minorHAnsi"/>
          <w:sz w:val="26"/>
          <w:szCs w:val="26"/>
          <w:lang w:eastAsia="en-US"/>
        </w:rPr>
        <w:t xml:space="preserve"> предприятия ЗАО «Русская Лоза».</w:t>
      </w:r>
    </w:p>
    <w:p w:rsidR="00F00EAD" w:rsidRPr="00F00EAD" w:rsidRDefault="00F00EAD" w:rsidP="00F00EAD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0EAD">
        <w:rPr>
          <w:rFonts w:eastAsiaTheme="minorHAnsi"/>
          <w:sz w:val="26"/>
          <w:szCs w:val="26"/>
          <w:lang w:eastAsia="en-US"/>
        </w:rPr>
        <w:t>В настоящее время конкурсным управляющим совместно с администрацией муниципального образования город-курорт Анапа проводится работа по поиску потенциального инвестора, желающего приобрести имущественный комплекс предприятия с целью восстановления производства, создания новых рабочих мест. Интерес проявляют винодельческие предприятия края (ОАО «Агропромышленная фирма «</w:t>
      </w:r>
      <w:proofErr w:type="spellStart"/>
      <w:r w:rsidRPr="00F00EAD">
        <w:rPr>
          <w:rFonts w:eastAsiaTheme="minorHAnsi"/>
          <w:sz w:val="26"/>
          <w:szCs w:val="26"/>
          <w:lang w:eastAsia="en-US"/>
        </w:rPr>
        <w:t>Фанагория</w:t>
      </w:r>
      <w:proofErr w:type="spellEnd"/>
      <w:r w:rsidRPr="00F00EAD">
        <w:rPr>
          <w:rFonts w:eastAsiaTheme="minorHAnsi"/>
          <w:sz w:val="26"/>
          <w:szCs w:val="26"/>
          <w:lang w:eastAsia="en-US"/>
        </w:rPr>
        <w:t>», ООО «Долина»).</w:t>
      </w:r>
    </w:p>
    <w:p w:rsidR="00784F50" w:rsidRPr="00E548AC" w:rsidRDefault="00784F50" w:rsidP="00D507F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76D08">
        <w:rPr>
          <w:sz w:val="26"/>
          <w:szCs w:val="26"/>
        </w:rPr>
        <w:t>Заслушав и обсудив информацию</w:t>
      </w:r>
      <w:r w:rsidR="00F00EAD" w:rsidRPr="00F00EAD">
        <w:rPr>
          <w:sz w:val="26"/>
          <w:szCs w:val="26"/>
        </w:rPr>
        <w:t xml:space="preserve"> исполняющ</w:t>
      </w:r>
      <w:r w:rsidR="00F00EAD">
        <w:rPr>
          <w:sz w:val="26"/>
          <w:szCs w:val="26"/>
        </w:rPr>
        <w:t>его</w:t>
      </w:r>
      <w:r w:rsidR="00F00EAD" w:rsidRPr="00F00EAD">
        <w:rPr>
          <w:sz w:val="26"/>
          <w:szCs w:val="26"/>
        </w:rPr>
        <w:t xml:space="preserve"> обязанности начальника управления экономики и инвестиций администрации муниципального образования город-курорт Анапа </w:t>
      </w:r>
      <w:r w:rsidR="00F00EAD">
        <w:rPr>
          <w:sz w:val="26"/>
          <w:szCs w:val="26"/>
        </w:rPr>
        <w:t xml:space="preserve">И.А. Лехмус </w:t>
      </w:r>
      <w:r w:rsidRPr="00E548AC">
        <w:rPr>
          <w:sz w:val="26"/>
          <w:szCs w:val="26"/>
        </w:rPr>
        <w:t>территориальная трехсторонняя комиссия РЕШИЛА</w:t>
      </w:r>
      <w:proofErr w:type="gramEnd"/>
      <w:r w:rsidRPr="00E548AC">
        <w:rPr>
          <w:sz w:val="26"/>
          <w:szCs w:val="26"/>
        </w:rPr>
        <w:t>:</w:t>
      </w:r>
    </w:p>
    <w:p w:rsidR="00470ACB" w:rsidRDefault="00F00EAD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EAD">
        <w:rPr>
          <w:sz w:val="26"/>
          <w:szCs w:val="26"/>
        </w:rPr>
        <w:t>1. Информацию о невыплате заработной платы ЗАО «Русская лоза» принять к сведению.</w:t>
      </w:r>
    </w:p>
    <w:p w:rsidR="00F00EAD" w:rsidRPr="00E548AC" w:rsidRDefault="00F00EAD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402"/>
      </w:tblGrid>
      <w:tr w:rsidR="00784F50" w:rsidRPr="00E548AC" w:rsidTr="00D507F8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D507F8" w:rsidRPr="00E548AC" w:rsidRDefault="00D507F8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544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D507F8" w:rsidRDefault="00D507F8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4C477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900B7"/>
    <w:rsid w:val="000C3451"/>
    <w:rsid w:val="001B60D3"/>
    <w:rsid w:val="002334AF"/>
    <w:rsid w:val="00287CFE"/>
    <w:rsid w:val="002D2C7F"/>
    <w:rsid w:val="0030030B"/>
    <w:rsid w:val="00304021"/>
    <w:rsid w:val="00313BA3"/>
    <w:rsid w:val="00395D8E"/>
    <w:rsid w:val="00404E0A"/>
    <w:rsid w:val="00470ACB"/>
    <w:rsid w:val="00494474"/>
    <w:rsid w:val="004B7393"/>
    <w:rsid w:val="004C4779"/>
    <w:rsid w:val="00541DCC"/>
    <w:rsid w:val="005A5BFC"/>
    <w:rsid w:val="0066068F"/>
    <w:rsid w:val="0069793B"/>
    <w:rsid w:val="00717FC1"/>
    <w:rsid w:val="00784F50"/>
    <w:rsid w:val="007A39DD"/>
    <w:rsid w:val="007C243D"/>
    <w:rsid w:val="00815F42"/>
    <w:rsid w:val="00832F50"/>
    <w:rsid w:val="00876D08"/>
    <w:rsid w:val="00954095"/>
    <w:rsid w:val="0096087E"/>
    <w:rsid w:val="009C7881"/>
    <w:rsid w:val="00A32D12"/>
    <w:rsid w:val="00A7620A"/>
    <w:rsid w:val="00B176A3"/>
    <w:rsid w:val="00B31ACE"/>
    <w:rsid w:val="00B71EB3"/>
    <w:rsid w:val="00C3138E"/>
    <w:rsid w:val="00C97501"/>
    <w:rsid w:val="00CB26E2"/>
    <w:rsid w:val="00D03BE6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00EAD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0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43</cp:revision>
  <cp:lastPrinted>2015-03-23T07:34:00Z</cp:lastPrinted>
  <dcterms:created xsi:type="dcterms:W3CDTF">2010-12-28T05:15:00Z</dcterms:created>
  <dcterms:modified xsi:type="dcterms:W3CDTF">2016-03-25T13:29:00Z</dcterms:modified>
</cp:coreProperties>
</file>