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00" w:rsidRPr="00074FD7" w:rsidRDefault="004B6AA5" w:rsidP="0019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по итогам</w:t>
      </w:r>
      <w:r w:rsidR="00193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с</w:t>
      </w:r>
      <w:r w:rsidR="0019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ями граждан</w:t>
      </w:r>
    </w:p>
    <w:p w:rsidR="001931A6" w:rsidRDefault="006B51A3" w:rsidP="0021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D7">
        <w:rPr>
          <w:rFonts w:ascii="Times New Roman" w:hAnsi="Times New Roman" w:cs="Times New Roman"/>
          <w:b/>
          <w:sz w:val="28"/>
          <w:szCs w:val="28"/>
        </w:rPr>
        <w:t>в 1 полугодии 202</w:t>
      </w:r>
      <w:r w:rsidR="00634504">
        <w:rPr>
          <w:rFonts w:ascii="Times New Roman" w:hAnsi="Times New Roman" w:cs="Times New Roman"/>
          <w:b/>
          <w:sz w:val="28"/>
          <w:szCs w:val="28"/>
        </w:rPr>
        <w:t>3</w:t>
      </w:r>
      <w:r w:rsidRPr="00074F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07EA">
        <w:rPr>
          <w:rFonts w:ascii="Times New Roman" w:hAnsi="Times New Roman" w:cs="Times New Roman"/>
          <w:b/>
          <w:sz w:val="28"/>
          <w:szCs w:val="28"/>
        </w:rPr>
        <w:t>ода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 xml:space="preserve"> в администраци</w:t>
      </w:r>
      <w:r w:rsidR="004B6AA5">
        <w:rPr>
          <w:rFonts w:ascii="Times New Roman" w:hAnsi="Times New Roman" w:cs="Times New Roman"/>
          <w:b/>
          <w:sz w:val="28"/>
          <w:szCs w:val="28"/>
        </w:rPr>
        <w:t>и</w:t>
      </w:r>
    </w:p>
    <w:p w:rsidR="00B01259" w:rsidRPr="00074FD7" w:rsidRDefault="00216700" w:rsidP="0021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931A6">
        <w:rPr>
          <w:rFonts w:ascii="Times New Roman" w:hAnsi="Times New Roman" w:cs="Times New Roman"/>
          <w:b/>
          <w:sz w:val="28"/>
          <w:szCs w:val="28"/>
        </w:rPr>
        <w:t>г</w:t>
      </w:r>
      <w:r w:rsidRPr="00074FD7">
        <w:rPr>
          <w:rFonts w:ascii="Times New Roman" w:hAnsi="Times New Roman" w:cs="Times New Roman"/>
          <w:b/>
          <w:sz w:val="28"/>
          <w:szCs w:val="28"/>
        </w:rPr>
        <w:t>ород-курорт Анапа</w:t>
      </w:r>
    </w:p>
    <w:p w:rsidR="00D24308" w:rsidRDefault="00D24308" w:rsidP="00216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7F5" w:rsidRPr="005A7A2B" w:rsidRDefault="00216700" w:rsidP="00DC37F5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7F5">
        <w:rPr>
          <w:sz w:val="28"/>
          <w:szCs w:val="28"/>
        </w:rPr>
        <w:t xml:space="preserve">В администрацию муниципального образования город-курорт Анапа в </w:t>
      </w:r>
      <w:r w:rsidR="007D56E1">
        <w:rPr>
          <w:sz w:val="28"/>
          <w:szCs w:val="28"/>
        </w:rPr>
        <w:t xml:space="preserve">         </w:t>
      </w:r>
      <w:r w:rsidR="00634504">
        <w:rPr>
          <w:sz w:val="28"/>
          <w:szCs w:val="28"/>
        </w:rPr>
        <w:t xml:space="preserve">      </w:t>
      </w:r>
      <w:r w:rsidR="007D56E1">
        <w:rPr>
          <w:sz w:val="28"/>
          <w:szCs w:val="28"/>
        </w:rPr>
        <w:t xml:space="preserve">    </w:t>
      </w:r>
      <w:r w:rsidR="006B51A3" w:rsidRPr="00DC37F5">
        <w:rPr>
          <w:sz w:val="28"/>
          <w:szCs w:val="28"/>
        </w:rPr>
        <w:t>1 полугодии 202</w:t>
      </w:r>
      <w:r w:rsidR="00A948A0">
        <w:rPr>
          <w:sz w:val="28"/>
          <w:szCs w:val="28"/>
        </w:rPr>
        <w:t>3</w:t>
      </w:r>
      <w:r w:rsidR="006B51A3" w:rsidRPr="00DC37F5">
        <w:rPr>
          <w:sz w:val="28"/>
          <w:szCs w:val="28"/>
        </w:rPr>
        <w:t xml:space="preserve"> года</w:t>
      </w:r>
      <w:r w:rsidRPr="00DC37F5">
        <w:rPr>
          <w:sz w:val="28"/>
          <w:szCs w:val="28"/>
        </w:rPr>
        <w:t xml:space="preserve"> поступило </w:t>
      </w:r>
      <w:r w:rsidR="00A948A0">
        <w:rPr>
          <w:sz w:val="28"/>
          <w:szCs w:val="28"/>
        </w:rPr>
        <w:t>4267</w:t>
      </w:r>
      <w:r w:rsidR="006B51A3" w:rsidRPr="00DC37F5">
        <w:rPr>
          <w:sz w:val="28"/>
          <w:szCs w:val="28"/>
        </w:rPr>
        <w:t xml:space="preserve"> </w:t>
      </w:r>
      <w:r w:rsidRPr="00DC37F5">
        <w:rPr>
          <w:sz w:val="28"/>
          <w:szCs w:val="28"/>
        </w:rPr>
        <w:t>обращени</w:t>
      </w:r>
      <w:r w:rsidR="006B51A3" w:rsidRPr="00DC37F5">
        <w:rPr>
          <w:sz w:val="28"/>
          <w:szCs w:val="28"/>
        </w:rPr>
        <w:t>й</w:t>
      </w:r>
      <w:r w:rsidRPr="00DC37F5">
        <w:rPr>
          <w:sz w:val="28"/>
          <w:szCs w:val="28"/>
        </w:rPr>
        <w:t xml:space="preserve">, </w:t>
      </w:r>
      <w:r w:rsidR="00DC37F5" w:rsidRPr="00DC37F5">
        <w:rPr>
          <w:sz w:val="28"/>
          <w:szCs w:val="28"/>
        </w:rPr>
        <w:t>что</w:t>
      </w:r>
      <w:r w:rsidR="00DC37F5" w:rsidRPr="00165300">
        <w:rPr>
          <w:sz w:val="28"/>
          <w:szCs w:val="28"/>
        </w:rPr>
        <w:t xml:space="preserve"> </w:t>
      </w:r>
      <w:r w:rsidR="00DC37F5">
        <w:rPr>
          <w:sz w:val="28"/>
          <w:szCs w:val="28"/>
        </w:rPr>
        <w:t xml:space="preserve">на </w:t>
      </w:r>
      <w:r w:rsidR="00A948A0">
        <w:rPr>
          <w:sz w:val="28"/>
          <w:szCs w:val="28"/>
        </w:rPr>
        <w:t>698</w:t>
      </w:r>
      <w:r w:rsidR="00DC37F5">
        <w:rPr>
          <w:sz w:val="28"/>
          <w:szCs w:val="28"/>
        </w:rPr>
        <w:t xml:space="preserve"> </w:t>
      </w:r>
      <w:r w:rsidR="00DC37F5" w:rsidRPr="00165300">
        <w:rPr>
          <w:sz w:val="28"/>
          <w:szCs w:val="28"/>
        </w:rPr>
        <w:t>обращений</w:t>
      </w:r>
      <w:r w:rsidR="00DC37F5">
        <w:rPr>
          <w:sz w:val="28"/>
          <w:szCs w:val="28"/>
        </w:rPr>
        <w:t xml:space="preserve"> </w:t>
      </w:r>
      <w:r w:rsidR="00A948A0">
        <w:rPr>
          <w:sz w:val="28"/>
          <w:szCs w:val="28"/>
        </w:rPr>
        <w:t>меньше</w:t>
      </w:r>
      <w:r w:rsidR="00DC37F5" w:rsidRPr="00165300">
        <w:rPr>
          <w:sz w:val="28"/>
          <w:szCs w:val="28"/>
        </w:rPr>
        <w:t xml:space="preserve"> по сравнению с аналогичным периодом прошлого года (</w:t>
      </w:r>
      <w:r w:rsidR="00A948A0">
        <w:rPr>
          <w:sz w:val="28"/>
          <w:szCs w:val="28"/>
        </w:rPr>
        <w:t>4440</w:t>
      </w:r>
      <w:r w:rsidR="00DC37F5" w:rsidRPr="00165300">
        <w:rPr>
          <w:sz w:val="28"/>
          <w:szCs w:val="28"/>
        </w:rPr>
        <w:t>).</w:t>
      </w:r>
      <w:r w:rsidR="00DC37F5">
        <w:rPr>
          <w:sz w:val="28"/>
          <w:szCs w:val="28"/>
        </w:rPr>
        <w:t xml:space="preserve"> </w:t>
      </w:r>
      <w:r w:rsidR="0021597D" w:rsidRPr="0021597D">
        <w:rPr>
          <w:sz w:val="28"/>
          <w:szCs w:val="28"/>
        </w:rPr>
        <w:t>548</w:t>
      </w:r>
      <w:r w:rsidR="00B00926" w:rsidRPr="0021597D">
        <w:rPr>
          <w:sz w:val="28"/>
          <w:szCs w:val="28"/>
        </w:rPr>
        <w:t xml:space="preserve"> </w:t>
      </w:r>
      <w:r w:rsidR="00DC37F5" w:rsidRPr="005A7A2B">
        <w:rPr>
          <w:sz w:val="28"/>
          <w:szCs w:val="28"/>
        </w:rPr>
        <w:t xml:space="preserve">граждан </w:t>
      </w:r>
      <w:r w:rsidR="00DC37F5">
        <w:rPr>
          <w:sz w:val="28"/>
          <w:szCs w:val="28"/>
        </w:rPr>
        <w:t>принято на личном приеме руководством администрации муниципального</w:t>
      </w:r>
      <w:r w:rsidR="00D346BB">
        <w:rPr>
          <w:sz w:val="28"/>
          <w:szCs w:val="28"/>
        </w:rPr>
        <w:t xml:space="preserve"> образования </w:t>
      </w:r>
      <w:r w:rsidR="001552F8" w:rsidRPr="001552F8">
        <w:rPr>
          <w:sz w:val="28"/>
          <w:szCs w:val="28"/>
        </w:rPr>
        <w:t xml:space="preserve">          </w:t>
      </w:r>
      <w:r w:rsidR="00D346BB">
        <w:rPr>
          <w:sz w:val="28"/>
          <w:szCs w:val="28"/>
        </w:rPr>
        <w:t>город-курорт Анапа (в 202</w:t>
      </w:r>
      <w:r w:rsidR="00A948A0">
        <w:rPr>
          <w:sz w:val="28"/>
          <w:szCs w:val="28"/>
        </w:rPr>
        <w:t>2</w:t>
      </w:r>
      <w:r w:rsidR="00D346BB">
        <w:rPr>
          <w:sz w:val="28"/>
          <w:szCs w:val="28"/>
        </w:rPr>
        <w:t xml:space="preserve"> году – </w:t>
      </w:r>
      <w:r w:rsidR="00A948A0">
        <w:rPr>
          <w:sz w:val="28"/>
          <w:szCs w:val="28"/>
        </w:rPr>
        <w:t>444</w:t>
      </w:r>
      <w:r w:rsidR="00D346BB">
        <w:rPr>
          <w:sz w:val="28"/>
          <w:szCs w:val="28"/>
        </w:rPr>
        <w:t>).</w:t>
      </w:r>
    </w:p>
    <w:p w:rsidR="000D317C" w:rsidRPr="00A948A0" w:rsidRDefault="000D317C" w:rsidP="000D317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283D">
        <w:rPr>
          <w:rFonts w:ascii="Times New Roman" w:hAnsi="Times New Roman" w:cs="Times New Roman"/>
          <w:sz w:val="28"/>
          <w:szCs w:val="28"/>
        </w:rPr>
        <w:t xml:space="preserve">Через администрацию Краснодарского края поступило </w:t>
      </w:r>
      <w:r w:rsidR="00A948A0">
        <w:rPr>
          <w:rFonts w:ascii="Times New Roman" w:hAnsi="Times New Roman" w:cs="Times New Roman"/>
          <w:sz w:val="28"/>
          <w:szCs w:val="28"/>
        </w:rPr>
        <w:t>1281</w:t>
      </w:r>
      <w:r w:rsidRPr="002C28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48A0">
        <w:rPr>
          <w:rFonts w:ascii="Times New Roman" w:hAnsi="Times New Roman" w:cs="Times New Roman"/>
          <w:sz w:val="28"/>
          <w:szCs w:val="28"/>
        </w:rPr>
        <w:t xml:space="preserve">е </w:t>
      </w:r>
      <w:r w:rsidR="001552F8" w:rsidRPr="001552F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552F8" w:rsidRPr="001552F8">
        <w:rPr>
          <w:rFonts w:ascii="Times New Roman" w:hAnsi="Times New Roman" w:cs="Times New Roman"/>
          <w:sz w:val="28"/>
          <w:szCs w:val="28"/>
        </w:rPr>
        <w:t xml:space="preserve">   </w:t>
      </w:r>
      <w:r w:rsidR="00C735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35AF">
        <w:rPr>
          <w:rFonts w:ascii="Times New Roman" w:hAnsi="Times New Roman" w:cs="Times New Roman"/>
          <w:sz w:val="28"/>
          <w:szCs w:val="28"/>
        </w:rPr>
        <w:t>в 202</w:t>
      </w:r>
      <w:r w:rsidR="00A948A0">
        <w:rPr>
          <w:rFonts w:ascii="Times New Roman" w:hAnsi="Times New Roman" w:cs="Times New Roman"/>
          <w:sz w:val="28"/>
          <w:szCs w:val="28"/>
        </w:rPr>
        <w:t>2</w:t>
      </w:r>
      <w:r w:rsidR="00C735A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48A0">
        <w:rPr>
          <w:rFonts w:ascii="Times New Roman" w:hAnsi="Times New Roman" w:cs="Times New Roman"/>
          <w:sz w:val="28"/>
          <w:szCs w:val="28"/>
        </w:rPr>
        <w:t>2469</w:t>
      </w:r>
      <w:r w:rsidR="00C735AF">
        <w:rPr>
          <w:rFonts w:ascii="Times New Roman" w:hAnsi="Times New Roman" w:cs="Times New Roman"/>
          <w:sz w:val="28"/>
          <w:szCs w:val="28"/>
        </w:rPr>
        <w:t xml:space="preserve">), в том числе из Управления Президента Российской Федерации </w:t>
      </w:r>
      <w:r w:rsidR="00960CE6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и организаций </w:t>
      </w:r>
      <w:r w:rsidR="00A948A0">
        <w:rPr>
          <w:rFonts w:ascii="Times New Roman" w:hAnsi="Times New Roman" w:cs="Times New Roman"/>
          <w:sz w:val="28"/>
          <w:szCs w:val="28"/>
        </w:rPr>
        <w:t>530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</w:t>
      </w:r>
      <w:r w:rsidR="00A948A0">
        <w:rPr>
          <w:rFonts w:ascii="Times New Roman" w:hAnsi="Times New Roman" w:cs="Times New Roman"/>
          <w:sz w:val="28"/>
          <w:szCs w:val="28"/>
        </w:rPr>
        <w:t>2</w:t>
      </w:r>
      <w:r w:rsidR="001931A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48A0">
        <w:rPr>
          <w:rFonts w:ascii="Times New Roman" w:hAnsi="Times New Roman" w:cs="Times New Roman"/>
          <w:sz w:val="28"/>
          <w:szCs w:val="28"/>
        </w:rPr>
        <w:t>578</w:t>
      </w:r>
      <w:r w:rsidR="001931A6">
        <w:rPr>
          <w:rFonts w:ascii="Times New Roman" w:hAnsi="Times New Roman" w:cs="Times New Roman"/>
          <w:sz w:val="28"/>
          <w:szCs w:val="28"/>
        </w:rPr>
        <w:t>)</w:t>
      </w:r>
      <w:r w:rsidR="00C735AF">
        <w:rPr>
          <w:rFonts w:ascii="Times New Roman" w:hAnsi="Times New Roman" w:cs="Times New Roman"/>
          <w:sz w:val="28"/>
          <w:szCs w:val="28"/>
        </w:rPr>
        <w:t xml:space="preserve"> и администрации Краснодарского края </w:t>
      </w:r>
      <w:r w:rsidR="00A948A0">
        <w:rPr>
          <w:rFonts w:ascii="Times New Roman" w:hAnsi="Times New Roman" w:cs="Times New Roman"/>
          <w:sz w:val="28"/>
          <w:szCs w:val="28"/>
        </w:rPr>
        <w:t xml:space="preserve">751 </w:t>
      </w:r>
      <w:r w:rsidR="00C735AF">
        <w:rPr>
          <w:rFonts w:ascii="Times New Roman" w:hAnsi="Times New Roman" w:cs="Times New Roman"/>
          <w:sz w:val="28"/>
          <w:szCs w:val="28"/>
        </w:rPr>
        <w:t>обращени</w:t>
      </w:r>
      <w:r w:rsidR="00A948A0">
        <w:rPr>
          <w:rFonts w:ascii="Times New Roman" w:hAnsi="Times New Roman" w:cs="Times New Roman"/>
          <w:sz w:val="28"/>
          <w:szCs w:val="28"/>
        </w:rPr>
        <w:t>е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</w:t>
      </w:r>
      <w:r w:rsidR="00A948A0">
        <w:rPr>
          <w:rFonts w:ascii="Times New Roman" w:hAnsi="Times New Roman" w:cs="Times New Roman"/>
          <w:sz w:val="28"/>
          <w:szCs w:val="28"/>
        </w:rPr>
        <w:t>2</w:t>
      </w:r>
      <w:r w:rsidR="00C735A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48A0">
        <w:rPr>
          <w:rFonts w:ascii="Times New Roman" w:hAnsi="Times New Roman" w:cs="Times New Roman"/>
          <w:sz w:val="28"/>
          <w:szCs w:val="28"/>
        </w:rPr>
        <w:t>1299</w:t>
      </w:r>
      <w:r w:rsidR="00C735AF">
        <w:rPr>
          <w:rFonts w:ascii="Times New Roman" w:hAnsi="Times New Roman" w:cs="Times New Roman"/>
          <w:sz w:val="28"/>
          <w:szCs w:val="28"/>
        </w:rPr>
        <w:t>).</w:t>
      </w:r>
      <w:r w:rsidR="001931A6">
        <w:rPr>
          <w:rFonts w:ascii="Times New Roman" w:hAnsi="Times New Roman" w:cs="Times New Roman"/>
          <w:sz w:val="28"/>
          <w:szCs w:val="28"/>
        </w:rPr>
        <w:t xml:space="preserve"> </w:t>
      </w:r>
      <w:r w:rsidRPr="002C283D">
        <w:rPr>
          <w:rFonts w:ascii="Times New Roman" w:hAnsi="Times New Roman" w:cs="Times New Roman"/>
          <w:sz w:val="28"/>
          <w:szCs w:val="28"/>
        </w:rPr>
        <w:t xml:space="preserve">На «Виртуальную приемную» </w:t>
      </w:r>
      <w:r w:rsidRPr="000D665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1552F8" w:rsidRPr="001552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Pr="000D6652">
        <w:rPr>
          <w:rFonts w:ascii="Times New Roman" w:hAnsi="Times New Roman" w:cs="Times New Roman"/>
          <w:sz w:val="28"/>
          <w:szCs w:val="28"/>
        </w:rPr>
        <w:t xml:space="preserve">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3D">
        <w:rPr>
          <w:rFonts w:ascii="Times New Roman" w:hAnsi="Times New Roman" w:cs="Times New Roman"/>
          <w:sz w:val="28"/>
          <w:szCs w:val="28"/>
        </w:rPr>
        <w:t xml:space="preserve">в электронном виде поступило </w:t>
      </w:r>
      <w:r w:rsidR="00A948A0">
        <w:rPr>
          <w:rFonts w:ascii="Times New Roman" w:hAnsi="Times New Roman" w:cs="Times New Roman"/>
          <w:sz w:val="28"/>
          <w:szCs w:val="28"/>
        </w:rPr>
        <w:t>1321</w:t>
      </w:r>
      <w:r w:rsidR="00B0092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48A0">
        <w:rPr>
          <w:rFonts w:ascii="Times New Roman" w:hAnsi="Times New Roman" w:cs="Times New Roman"/>
          <w:sz w:val="28"/>
          <w:szCs w:val="28"/>
        </w:rPr>
        <w:t>е</w:t>
      </w:r>
      <w:r w:rsidR="00B00926">
        <w:rPr>
          <w:rFonts w:ascii="Times New Roman" w:hAnsi="Times New Roman" w:cs="Times New Roman"/>
          <w:sz w:val="28"/>
          <w:szCs w:val="28"/>
        </w:rPr>
        <w:t xml:space="preserve"> (в 202</w:t>
      </w:r>
      <w:r w:rsidR="00A948A0">
        <w:rPr>
          <w:rFonts w:ascii="Times New Roman" w:hAnsi="Times New Roman" w:cs="Times New Roman"/>
          <w:sz w:val="28"/>
          <w:szCs w:val="28"/>
        </w:rPr>
        <w:t>2</w:t>
      </w:r>
      <w:r w:rsidR="00B0092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48A0">
        <w:rPr>
          <w:rFonts w:ascii="Times New Roman" w:hAnsi="Times New Roman" w:cs="Times New Roman"/>
          <w:sz w:val="28"/>
          <w:szCs w:val="28"/>
        </w:rPr>
        <w:t>1675</w:t>
      </w:r>
      <w:r w:rsidR="00B00926">
        <w:rPr>
          <w:rFonts w:ascii="Times New Roman" w:hAnsi="Times New Roman" w:cs="Times New Roman"/>
          <w:sz w:val="28"/>
          <w:szCs w:val="28"/>
        </w:rPr>
        <w:t>)</w:t>
      </w:r>
      <w:r w:rsidR="0021597D">
        <w:rPr>
          <w:rFonts w:ascii="Times New Roman" w:hAnsi="Times New Roman" w:cs="Times New Roman"/>
          <w:sz w:val="28"/>
          <w:szCs w:val="28"/>
        </w:rPr>
        <w:t>.</w:t>
      </w:r>
    </w:p>
    <w:p w:rsidR="00501012" w:rsidRDefault="00216700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B6B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A948A0">
        <w:rPr>
          <w:rFonts w:ascii="Times New Roman" w:hAnsi="Times New Roman" w:cs="Times New Roman"/>
          <w:sz w:val="28"/>
          <w:szCs w:val="28"/>
        </w:rPr>
        <w:t>4267</w:t>
      </w:r>
      <w:r w:rsidRPr="00973B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050C">
        <w:rPr>
          <w:rFonts w:ascii="Times New Roman" w:hAnsi="Times New Roman" w:cs="Times New Roman"/>
          <w:sz w:val="28"/>
          <w:szCs w:val="28"/>
        </w:rPr>
        <w:t>й</w:t>
      </w:r>
      <w:r w:rsidR="00CC7D52">
        <w:rPr>
          <w:rFonts w:ascii="Times New Roman" w:hAnsi="Times New Roman" w:cs="Times New Roman"/>
          <w:sz w:val="28"/>
          <w:szCs w:val="28"/>
        </w:rPr>
        <w:t xml:space="preserve"> </w:t>
      </w:r>
      <w:r w:rsidR="0021597D" w:rsidRPr="0021597D">
        <w:rPr>
          <w:rFonts w:ascii="Times New Roman" w:hAnsi="Times New Roman" w:cs="Times New Roman"/>
          <w:sz w:val="28"/>
          <w:szCs w:val="28"/>
        </w:rPr>
        <w:t>161</w:t>
      </w:r>
      <w:r w:rsidR="00074E91" w:rsidRPr="0021597D">
        <w:rPr>
          <w:rFonts w:ascii="Times New Roman" w:hAnsi="Times New Roman" w:cs="Times New Roman"/>
          <w:sz w:val="28"/>
          <w:szCs w:val="28"/>
        </w:rPr>
        <w:t xml:space="preserve"> </w:t>
      </w:r>
      <w:r w:rsidR="00074E91" w:rsidRPr="00973B6B">
        <w:rPr>
          <w:rFonts w:ascii="Times New Roman" w:hAnsi="Times New Roman" w:cs="Times New Roman"/>
          <w:sz w:val="28"/>
          <w:szCs w:val="28"/>
        </w:rPr>
        <w:t>решен</w:t>
      </w:r>
      <w:r w:rsidR="001552F8">
        <w:rPr>
          <w:rFonts w:ascii="Times New Roman" w:hAnsi="Times New Roman" w:cs="Times New Roman"/>
          <w:sz w:val="28"/>
          <w:szCs w:val="28"/>
        </w:rPr>
        <w:t>о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1931A6">
        <w:rPr>
          <w:rFonts w:ascii="Times New Roman" w:hAnsi="Times New Roman" w:cs="Times New Roman"/>
          <w:sz w:val="28"/>
          <w:szCs w:val="28"/>
        </w:rPr>
        <w:t xml:space="preserve">, по </w:t>
      </w:r>
      <w:r w:rsidR="001552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597D" w:rsidRPr="0021597D">
        <w:rPr>
          <w:rFonts w:ascii="Times New Roman" w:hAnsi="Times New Roman" w:cs="Times New Roman"/>
          <w:sz w:val="28"/>
          <w:szCs w:val="28"/>
        </w:rPr>
        <w:t>2962</w:t>
      </w:r>
      <w:r w:rsidR="001931A6" w:rsidRPr="0021597D"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>обращениям даны разъяснения</w:t>
      </w:r>
      <w:r w:rsidR="00074E91" w:rsidRPr="00973B6B">
        <w:rPr>
          <w:rFonts w:ascii="Times New Roman" w:hAnsi="Times New Roman" w:cs="Times New Roman"/>
          <w:sz w:val="28"/>
          <w:szCs w:val="28"/>
        </w:rPr>
        <w:t>. С целью наиболее эффективного реш</w:t>
      </w:r>
      <w:r w:rsidR="00D77049" w:rsidRPr="00973B6B">
        <w:rPr>
          <w:rFonts w:ascii="Times New Roman" w:hAnsi="Times New Roman" w:cs="Times New Roman"/>
          <w:sz w:val="28"/>
          <w:szCs w:val="28"/>
        </w:rPr>
        <w:t>ения проблем населения в течение</w:t>
      </w:r>
      <w:r w:rsidR="00501012">
        <w:rPr>
          <w:rFonts w:ascii="Times New Roman" w:hAnsi="Times New Roman" w:cs="Times New Roman"/>
          <w:sz w:val="28"/>
          <w:szCs w:val="28"/>
        </w:rPr>
        <w:t xml:space="preserve"> </w:t>
      </w:r>
      <w:r w:rsidR="003F2B6C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="00501012">
        <w:rPr>
          <w:rFonts w:ascii="Times New Roman" w:hAnsi="Times New Roman" w:cs="Times New Roman"/>
          <w:sz w:val="28"/>
          <w:szCs w:val="28"/>
        </w:rPr>
        <w:t>202</w:t>
      </w:r>
      <w:r w:rsidR="00A948A0">
        <w:rPr>
          <w:rFonts w:ascii="Times New Roman" w:hAnsi="Times New Roman" w:cs="Times New Roman"/>
          <w:sz w:val="28"/>
          <w:szCs w:val="28"/>
        </w:rPr>
        <w:t>3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48A0">
        <w:rPr>
          <w:rFonts w:ascii="Times New Roman" w:hAnsi="Times New Roman" w:cs="Times New Roman"/>
          <w:sz w:val="28"/>
          <w:szCs w:val="28"/>
        </w:rPr>
        <w:t>646</w:t>
      </w:r>
      <w:r w:rsidR="0050101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C7D52">
        <w:rPr>
          <w:rFonts w:ascii="Times New Roman" w:hAnsi="Times New Roman" w:cs="Times New Roman"/>
          <w:sz w:val="28"/>
          <w:szCs w:val="28"/>
        </w:rPr>
        <w:t xml:space="preserve"> </w:t>
      </w:r>
      <w:r w:rsidR="00074E91" w:rsidRPr="00973B6B">
        <w:rPr>
          <w:rFonts w:ascii="Times New Roman" w:hAnsi="Times New Roman" w:cs="Times New Roman"/>
          <w:sz w:val="28"/>
          <w:szCs w:val="28"/>
        </w:rPr>
        <w:t>поставлен</w:t>
      </w:r>
      <w:r w:rsidR="00D84B68" w:rsidRPr="00973B6B">
        <w:rPr>
          <w:rFonts w:ascii="Times New Roman" w:hAnsi="Times New Roman" w:cs="Times New Roman"/>
          <w:sz w:val="28"/>
          <w:szCs w:val="28"/>
        </w:rPr>
        <w:t>о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на контроль полного исполнения</w:t>
      </w:r>
      <w:r w:rsidR="00D346BB">
        <w:rPr>
          <w:rFonts w:ascii="Times New Roman" w:hAnsi="Times New Roman" w:cs="Times New Roman"/>
          <w:sz w:val="28"/>
          <w:szCs w:val="28"/>
        </w:rPr>
        <w:t xml:space="preserve"> (в 202</w:t>
      </w:r>
      <w:r w:rsidR="00A948A0">
        <w:rPr>
          <w:rFonts w:ascii="Times New Roman" w:hAnsi="Times New Roman" w:cs="Times New Roman"/>
          <w:sz w:val="28"/>
          <w:szCs w:val="28"/>
        </w:rPr>
        <w:t>2</w:t>
      </w:r>
      <w:r w:rsidR="00D346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48A0">
        <w:rPr>
          <w:rFonts w:ascii="Times New Roman" w:hAnsi="Times New Roman" w:cs="Times New Roman"/>
          <w:sz w:val="28"/>
          <w:szCs w:val="28"/>
        </w:rPr>
        <w:t>359</w:t>
      </w:r>
      <w:r w:rsidR="00D346BB">
        <w:rPr>
          <w:rFonts w:ascii="Times New Roman" w:hAnsi="Times New Roman" w:cs="Times New Roman"/>
          <w:sz w:val="28"/>
          <w:szCs w:val="28"/>
        </w:rPr>
        <w:t>)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. </w:t>
      </w:r>
      <w:r w:rsidR="0021597D" w:rsidRPr="0021597D">
        <w:rPr>
          <w:rFonts w:ascii="Times New Roman" w:hAnsi="Times New Roman" w:cs="Times New Roman"/>
          <w:sz w:val="28"/>
          <w:szCs w:val="28"/>
        </w:rPr>
        <w:t>359</w:t>
      </w:r>
      <w:r w:rsidR="00047763" w:rsidRPr="0021597D">
        <w:rPr>
          <w:rFonts w:ascii="Times New Roman" w:hAnsi="Times New Roman" w:cs="Times New Roman"/>
          <w:sz w:val="28"/>
          <w:szCs w:val="28"/>
        </w:rPr>
        <w:t xml:space="preserve"> </w:t>
      </w:r>
      <w:r w:rsidR="00501012">
        <w:rPr>
          <w:rFonts w:ascii="Times New Roman" w:hAnsi="Times New Roman" w:cs="Times New Roman"/>
          <w:sz w:val="28"/>
          <w:szCs w:val="28"/>
        </w:rPr>
        <w:t>обращений рассмотрены с выездом на место</w:t>
      </w:r>
      <w:r w:rsidR="00D346BB">
        <w:rPr>
          <w:rFonts w:ascii="Times New Roman" w:hAnsi="Times New Roman" w:cs="Times New Roman"/>
          <w:sz w:val="28"/>
          <w:szCs w:val="28"/>
        </w:rPr>
        <w:t xml:space="preserve"> (в 202</w:t>
      </w:r>
      <w:r w:rsidR="00A948A0">
        <w:rPr>
          <w:rFonts w:ascii="Times New Roman" w:hAnsi="Times New Roman" w:cs="Times New Roman"/>
          <w:sz w:val="28"/>
          <w:szCs w:val="28"/>
        </w:rPr>
        <w:t>2</w:t>
      </w:r>
      <w:r w:rsidR="00D346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48A0">
        <w:rPr>
          <w:rFonts w:ascii="Times New Roman" w:hAnsi="Times New Roman" w:cs="Times New Roman"/>
          <w:sz w:val="28"/>
          <w:szCs w:val="28"/>
        </w:rPr>
        <w:t>235</w:t>
      </w:r>
      <w:r w:rsidR="00D346BB">
        <w:rPr>
          <w:rFonts w:ascii="Times New Roman" w:hAnsi="Times New Roman" w:cs="Times New Roman"/>
          <w:sz w:val="28"/>
          <w:szCs w:val="28"/>
        </w:rPr>
        <w:t>)</w:t>
      </w:r>
      <w:r w:rsidR="00501012">
        <w:rPr>
          <w:rFonts w:ascii="Times New Roman" w:hAnsi="Times New Roman" w:cs="Times New Roman"/>
          <w:sz w:val="28"/>
          <w:szCs w:val="28"/>
        </w:rPr>
        <w:t>.</w:t>
      </w:r>
    </w:p>
    <w:p w:rsidR="00974275" w:rsidRDefault="00074E91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6B">
        <w:rPr>
          <w:rFonts w:ascii="Times New Roman" w:hAnsi="Times New Roman" w:cs="Times New Roman"/>
          <w:sz w:val="28"/>
          <w:szCs w:val="28"/>
        </w:rPr>
        <w:tab/>
      </w:r>
      <w:r w:rsidR="00974275">
        <w:rPr>
          <w:rFonts w:ascii="Times New Roman" w:hAnsi="Times New Roman" w:cs="Times New Roman"/>
          <w:sz w:val="28"/>
          <w:szCs w:val="28"/>
        </w:rPr>
        <w:t>Поступившие обращения граждан в администрацию муниципального образования город-курорт Анапа распределились следующим образом:</w:t>
      </w:r>
    </w:p>
    <w:p w:rsidR="00974275" w:rsidRDefault="00974275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863"/>
        <w:gridCol w:w="1534"/>
        <w:gridCol w:w="1546"/>
        <w:gridCol w:w="1691"/>
      </w:tblGrid>
      <w:tr w:rsidR="00974275" w:rsidTr="00634504">
        <w:trPr>
          <w:trHeight w:val="376"/>
        </w:trPr>
        <w:tc>
          <w:tcPr>
            <w:tcW w:w="561" w:type="dxa"/>
            <w:vMerge w:val="restart"/>
          </w:tcPr>
          <w:p w:rsidR="00974275" w:rsidRPr="00974275" w:rsidRDefault="00974275" w:rsidP="00216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3" w:type="dxa"/>
            <w:vMerge w:val="restart"/>
          </w:tcPr>
          <w:p w:rsidR="00974275" w:rsidRDefault="00974275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974275" w:rsidRPr="00974275" w:rsidRDefault="00974275" w:rsidP="0019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поступивших обращений </w:t>
            </w:r>
          </w:p>
        </w:tc>
        <w:tc>
          <w:tcPr>
            <w:tcW w:w="1691" w:type="dxa"/>
            <w:vMerge w:val="restart"/>
          </w:tcPr>
          <w:p w:rsidR="00974275" w:rsidRPr="00974275" w:rsidRDefault="00974275" w:rsidP="0097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634504" w:rsidTr="00634504">
        <w:trPr>
          <w:trHeight w:val="263"/>
        </w:trPr>
        <w:tc>
          <w:tcPr>
            <w:tcW w:w="561" w:type="dxa"/>
            <w:vMerge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vMerge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634504" w:rsidRPr="00974275" w:rsidRDefault="00634504" w:rsidP="006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46" w:type="dxa"/>
          </w:tcPr>
          <w:p w:rsidR="00634504" w:rsidRPr="00974275" w:rsidRDefault="00634504" w:rsidP="006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91" w:type="dxa"/>
            <w:vMerge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04" w:rsidTr="00634504">
        <w:tc>
          <w:tcPr>
            <w:tcW w:w="561" w:type="dxa"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1534" w:type="dxa"/>
          </w:tcPr>
          <w:p w:rsidR="00634504" w:rsidRDefault="00634504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1546" w:type="dxa"/>
          </w:tcPr>
          <w:p w:rsidR="00634504" w:rsidRDefault="008F49A1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  <w:tc>
          <w:tcPr>
            <w:tcW w:w="1691" w:type="dxa"/>
          </w:tcPr>
          <w:p w:rsidR="00634504" w:rsidRDefault="008F49A1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- 698</w:t>
            </w:r>
          </w:p>
        </w:tc>
      </w:tr>
      <w:tr w:rsidR="00634504" w:rsidTr="00634504">
        <w:tc>
          <w:tcPr>
            <w:tcW w:w="561" w:type="dxa"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3" w:type="dxa"/>
          </w:tcPr>
          <w:p w:rsidR="00634504" w:rsidRDefault="00634504" w:rsidP="0063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граждан, поступившие на многоканальный телефон в администрацию Краснодарского края</w:t>
            </w:r>
          </w:p>
        </w:tc>
        <w:tc>
          <w:tcPr>
            <w:tcW w:w="1534" w:type="dxa"/>
          </w:tcPr>
          <w:p w:rsidR="00634504" w:rsidRDefault="00634504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546" w:type="dxa"/>
          </w:tcPr>
          <w:p w:rsidR="00634504" w:rsidRDefault="008F49A1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691" w:type="dxa"/>
          </w:tcPr>
          <w:p w:rsidR="00634504" w:rsidRDefault="008F49A1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</w:t>
            </w:r>
          </w:p>
        </w:tc>
      </w:tr>
      <w:tr w:rsidR="00634504" w:rsidTr="00634504">
        <w:tc>
          <w:tcPr>
            <w:tcW w:w="561" w:type="dxa"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3" w:type="dxa"/>
          </w:tcPr>
          <w:p w:rsidR="00634504" w:rsidRDefault="00634504" w:rsidP="0063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534" w:type="dxa"/>
          </w:tcPr>
          <w:p w:rsidR="00634504" w:rsidRDefault="00634504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546" w:type="dxa"/>
          </w:tcPr>
          <w:p w:rsidR="00634504" w:rsidRDefault="008F49A1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691" w:type="dxa"/>
          </w:tcPr>
          <w:p w:rsidR="00634504" w:rsidRDefault="008F49A1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- 48</w:t>
            </w:r>
          </w:p>
        </w:tc>
      </w:tr>
      <w:tr w:rsidR="00634504" w:rsidTr="00634504">
        <w:tc>
          <w:tcPr>
            <w:tcW w:w="5424" w:type="dxa"/>
            <w:gridSpan w:val="2"/>
          </w:tcPr>
          <w:p w:rsidR="00634504" w:rsidRPr="00A820F8" w:rsidRDefault="00634504" w:rsidP="0063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4" w:type="dxa"/>
          </w:tcPr>
          <w:p w:rsidR="00634504" w:rsidRPr="00A820F8" w:rsidRDefault="00634504" w:rsidP="00634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F8">
              <w:rPr>
                <w:rFonts w:ascii="Times New Roman" w:hAnsi="Times New Roman" w:cs="Times New Roman"/>
                <w:b/>
                <w:sz w:val="28"/>
                <w:szCs w:val="28"/>
              </w:rPr>
              <w:t>5086</w:t>
            </w:r>
          </w:p>
        </w:tc>
        <w:tc>
          <w:tcPr>
            <w:tcW w:w="1546" w:type="dxa"/>
          </w:tcPr>
          <w:p w:rsidR="00634504" w:rsidRPr="00A820F8" w:rsidRDefault="008F49A1" w:rsidP="00634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4267</w:t>
            </w:r>
          </w:p>
        </w:tc>
        <w:tc>
          <w:tcPr>
            <w:tcW w:w="1691" w:type="dxa"/>
          </w:tcPr>
          <w:p w:rsidR="00634504" w:rsidRPr="00A820F8" w:rsidRDefault="008F49A1" w:rsidP="00634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819</w:t>
            </w:r>
          </w:p>
        </w:tc>
      </w:tr>
      <w:tr w:rsidR="00634504" w:rsidTr="00634504">
        <w:tc>
          <w:tcPr>
            <w:tcW w:w="561" w:type="dxa"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634504" w:rsidRDefault="00634504" w:rsidP="00634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</w:t>
            </w:r>
          </w:p>
        </w:tc>
        <w:tc>
          <w:tcPr>
            <w:tcW w:w="1534" w:type="dxa"/>
          </w:tcPr>
          <w:p w:rsidR="00634504" w:rsidRDefault="00634504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546" w:type="dxa"/>
          </w:tcPr>
          <w:p w:rsidR="00634504" w:rsidRDefault="0021597D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691" w:type="dxa"/>
          </w:tcPr>
          <w:p w:rsidR="00634504" w:rsidRDefault="0021597D" w:rsidP="0063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+ 104</w:t>
            </w:r>
          </w:p>
        </w:tc>
      </w:tr>
    </w:tbl>
    <w:p w:rsidR="00974275" w:rsidRDefault="00974275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68" w:rsidRDefault="005549E1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78163" cy="4564048"/>
            <wp:effectExtent l="0" t="0" r="1333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4F" w:rsidRPr="00000E29" w:rsidRDefault="00523E4F" w:rsidP="00000E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количества поступивших обращений в отчетном периоде преобладают 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жилищно-коммунального хозяйства</w:t>
      </w: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поднимались 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2253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обращениях, что составляет</w:t>
      </w:r>
      <w:r w:rsidR="0048721C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41,7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 (202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 от общего количества поступивших обращений</w:t>
      </w:r>
      <w:r w:rsidR="00000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00E29" w:rsidRPr="0000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наблюдается значительное снижение в </w:t>
      </w:r>
      <w:r w:rsidR="0000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году </w:t>
      </w:r>
      <w:r w:rsidR="00000E29" w:rsidRPr="0000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обращений по данным вопросам.  </w:t>
      </w:r>
    </w:p>
    <w:p w:rsidR="00523E4F" w:rsidRPr="00353C1B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Чаще всего граждане обращались по вопросам выдачи технических условий на водо- и газоснабжение домовладений, строительства и реконструкции дорожного полотна в щебеночном и асфальтовом исполнении, остро стоят вопросы перебоев в электроснабжении, водоснабжении, уличном освещении, отлове животных.</w:t>
      </w:r>
    </w:p>
    <w:p w:rsidR="00523E4F" w:rsidRPr="00353C1B" w:rsidRDefault="00353C1B" w:rsidP="00523E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Увеличились </w:t>
      </w:r>
      <w:r w:rsidR="0048721C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опросы архитектуры и градостроительства –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836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составляет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15,4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 (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%) от общего количества обращений.</w:t>
      </w:r>
    </w:p>
    <w:p w:rsidR="00523E4F" w:rsidRPr="00353C1B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Большая часть обращений, поступивших в администрацию, касалась вопросов проверки соблюдения требований земельного законодательства, изменения вида разрешенного использования земельного участка, выдачи разрешения на строительство, ввода объекта в эксплуатацию, окончания строительства многоквартирных домов, участие в долевом строительстве. </w:t>
      </w:r>
    </w:p>
    <w:p w:rsidR="00150BA2" w:rsidRPr="00353C1B" w:rsidRDefault="00150BA2" w:rsidP="0015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в</w:t>
      </w: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сфере экономики, малого и среднего бизнеса – 699, что составляет 12,9 % (2022 – 6,9 %)</w:t>
      </w: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53C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развития малого и среднего бизнеса, жалобы на торговые и санаторно-курортные объекты.</w:t>
      </w:r>
    </w:p>
    <w:p w:rsidR="00523E4F" w:rsidRPr="00353C1B" w:rsidRDefault="0048721C" w:rsidP="005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Увеличилось количество обращений по в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</w:t>
      </w:r>
      <w:r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права на социальное обеспечение</w:t>
      </w:r>
      <w:r w:rsid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которые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затрагивались в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682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обращениях, что составляет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12,6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 (202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E35270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,2 %).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блок в основном представлен вопросами: 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мест в детских дошкольных учреждениях, нехватка мест в общеобразовательных учреждениях.</w:t>
      </w:r>
    </w:p>
    <w:p w:rsidR="00150BA2" w:rsidRPr="001F7356" w:rsidRDefault="00150BA2" w:rsidP="00150BA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земельно-имущественных отношений затрагивались в 477 обра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щениях, что составляет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8,8 % (2022 – 5 %).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7356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Наибольшая часть обращений по данной тематике касалась вопросов предоставления земельных участков под ИЖС, садоводство и огородничество, предоставление жилого помещения по договору социального найма.</w:t>
      </w:r>
    </w:p>
    <w:p w:rsidR="00523E4F" w:rsidRPr="00353C1B" w:rsidRDefault="00CA6266" w:rsidP="00523E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Уменьшение 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в 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сфере транспорта</w:t>
      </w:r>
      <w:r w:rsidR="00CB2869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258, что составляет 4,7 % (2022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B2869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23E4F" w:rsidRPr="0035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 от общего количества обращений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</w:t>
      </w:r>
      <w:r w:rsidR="001F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графика 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перевозок,</w:t>
      </w:r>
      <w:r w:rsidR="001F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безналичной оплате за проезд</w:t>
      </w:r>
      <w:r w:rsidR="00523E4F" w:rsidRPr="00353C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E4F" w:rsidRPr="001F7356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6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вопросы – 10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обращений, 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 (в 202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%), </w:t>
      </w:r>
      <w:r w:rsidRPr="001F7356">
        <w:rPr>
          <w:rFonts w:ascii="Times New Roman" w:hAnsi="Times New Roman" w:cs="Times New Roman"/>
          <w:color w:val="000000" w:themeColor="text1"/>
          <w:sz w:val="28"/>
          <w:szCs w:val="28"/>
        </w:rPr>
        <w:t>вопросы рассмотрения обращений граждан, записи на прием, внутренней политики.</w:t>
      </w:r>
    </w:p>
    <w:p w:rsidR="00523E4F" w:rsidRPr="001F7356" w:rsidRDefault="00523E4F" w:rsidP="00523E4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обращений наблюдается по 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вопросам обеспечения законности и охраны правопорядка – </w:t>
      </w:r>
      <w:r w:rsidR="00CB2869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составляет 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1,9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 </w:t>
      </w:r>
      <w:r w:rsid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273791"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F7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%).</w:t>
      </w:r>
      <w:r w:rsidRPr="001F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Поступали письма о гражданах без определенного места жительства, эксплуатация самокатов на набережной. </w:t>
      </w:r>
    </w:p>
    <w:p w:rsidR="007E0BE1" w:rsidRPr="00B376A0" w:rsidRDefault="007E0BE1" w:rsidP="00523E4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BE1" w:rsidRDefault="007E0BE1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5D9" w:rsidRPr="00435256" w:rsidRDefault="0039543C" w:rsidP="0052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06">
        <w:rPr>
          <w:noProof/>
        </w:rPr>
        <w:drawing>
          <wp:inline distT="0" distB="0" distL="0" distR="0" wp14:anchorId="7FEF8238" wp14:editId="22638D04">
            <wp:extent cx="6480175" cy="4025062"/>
            <wp:effectExtent l="0" t="0" r="1587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BE1" w:rsidRDefault="00D6648E" w:rsidP="007E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21C" w:rsidRPr="00DB0A16" w:rsidRDefault="0048721C" w:rsidP="007E0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>По территориальному признаку обращения распределились следующим образом:</w:t>
      </w:r>
    </w:p>
    <w:p w:rsidR="0048721C" w:rsidRPr="00DB0A16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50096">
        <w:rPr>
          <w:rFonts w:ascii="Times New Roman" w:eastAsia="Times New Roman" w:hAnsi="Times New Roman" w:cs="Times New Roman"/>
          <w:sz w:val="28"/>
          <w:szCs w:val="28"/>
        </w:rPr>
        <w:t>2725</w:t>
      </w:r>
      <w:r w:rsidRPr="00A50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поступило от жителей города Анапа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202</w:t>
      </w:r>
      <w:r w:rsidR="00A500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4308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80405F">
        <w:rPr>
          <w:rFonts w:ascii="Times New Roman" w:eastAsia="Times New Roman" w:hAnsi="Times New Roman" w:cs="Times New Roman"/>
          <w:sz w:val="28"/>
          <w:szCs w:val="28"/>
        </w:rPr>
        <w:t>3283</w:t>
      </w:r>
      <w:r w:rsidRPr="00D243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721C" w:rsidRPr="00DB0A16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E93">
        <w:rPr>
          <w:rFonts w:ascii="Times New Roman" w:eastAsia="Times New Roman" w:hAnsi="Times New Roman" w:cs="Times New Roman"/>
          <w:sz w:val="28"/>
          <w:szCs w:val="28"/>
        </w:rPr>
        <w:t>1511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от жителей сельских округов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202</w:t>
      </w:r>
      <w:r w:rsidR="00A5009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80405F">
        <w:rPr>
          <w:rFonts w:ascii="Times New Roman" w:eastAsia="Times New Roman" w:hAnsi="Times New Roman" w:cs="Times New Roman"/>
          <w:sz w:val="28"/>
          <w:szCs w:val="28"/>
        </w:rPr>
        <w:t>1618</w:t>
      </w:r>
      <w:r w:rsidRPr="00D24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21C" w:rsidRPr="00D24308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A3E93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от жителей других регионов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202</w:t>
      </w:r>
      <w:r w:rsidR="00A5009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0405F">
        <w:rPr>
          <w:rFonts w:ascii="Times New Roman" w:eastAsia="Times New Roman" w:hAnsi="Times New Roman" w:cs="Times New Roman"/>
          <w:sz w:val="28"/>
          <w:szCs w:val="28"/>
        </w:rPr>
        <w:t>185</w:t>
      </w:r>
      <w:r w:rsidRPr="00D243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B54" w:rsidRDefault="00EB7B54" w:rsidP="00BB1C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8E" w:rsidRDefault="00D6648E" w:rsidP="003A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D9">
        <w:rPr>
          <w:rFonts w:ascii="Times New Roman" w:hAnsi="Times New Roman" w:cs="Times New Roman"/>
          <w:b/>
          <w:sz w:val="28"/>
          <w:szCs w:val="28"/>
        </w:rPr>
        <w:lastRenderedPageBreak/>
        <w:t>Обращения от жителей сельских округов распределились следующим образом:</w:t>
      </w:r>
    </w:p>
    <w:p w:rsidR="003A43A2" w:rsidRPr="001C12D9" w:rsidRDefault="003A43A2" w:rsidP="003A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10173" w:type="dxa"/>
        <w:tblLayout w:type="fixed"/>
        <w:tblLook w:val="04A0" w:firstRow="1" w:lastRow="0" w:firstColumn="1" w:lastColumn="0" w:noHBand="0" w:noVBand="1"/>
      </w:tblPr>
      <w:tblGrid>
        <w:gridCol w:w="886"/>
        <w:gridCol w:w="2621"/>
        <w:gridCol w:w="1988"/>
        <w:gridCol w:w="2126"/>
        <w:gridCol w:w="2552"/>
      </w:tblGrid>
      <w:tr w:rsidR="00591C85" w:rsidRPr="00D6648E" w:rsidTr="007E0BE1">
        <w:trPr>
          <w:trHeight w:val="473"/>
        </w:trPr>
        <w:tc>
          <w:tcPr>
            <w:tcW w:w="886" w:type="dxa"/>
            <w:vMerge w:val="restart"/>
          </w:tcPr>
          <w:p w:rsidR="00591C85" w:rsidRPr="00D6648E" w:rsidRDefault="00591C85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1" w:type="dxa"/>
            <w:vMerge w:val="restart"/>
          </w:tcPr>
          <w:p w:rsidR="00591C85" w:rsidRPr="00D6648E" w:rsidRDefault="00591C85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Сельский округ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591C85" w:rsidRPr="00C82998" w:rsidRDefault="00591C85" w:rsidP="00C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552" w:type="dxa"/>
            <w:vMerge w:val="restart"/>
          </w:tcPr>
          <w:p w:rsidR="00591C85" w:rsidRDefault="00591C85" w:rsidP="00C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4E0A19" w:rsidRPr="00D6648E" w:rsidTr="007E0BE1">
        <w:tc>
          <w:tcPr>
            <w:tcW w:w="886" w:type="dxa"/>
            <w:vMerge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552" w:type="dxa"/>
            <w:vMerge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552" w:type="dxa"/>
          </w:tcPr>
          <w:p w:rsidR="004E0A19" w:rsidRPr="00E52875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Благовещенский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Витязевский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Гайкодзорский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Гостагаевский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Джигинский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4E0A19" w:rsidRPr="00E52875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</w:tcPr>
          <w:p w:rsidR="004E0A19" w:rsidRPr="00E52875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+ 18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- 32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Супсехский</w:t>
            </w:r>
          </w:p>
        </w:tc>
        <w:tc>
          <w:tcPr>
            <w:tcW w:w="1988" w:type="dxa"/>
          </w:tcPr>
          <w:p w:rsidR="004E0A19" w:rsidRPr="00D6648E" w:rsidRDefault="004E0A19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126" w:type="dxa"/>
          </w:tcPr>
          <w:p w:rsidR="004E0A19" w:rsidRPr="00D6648E" w:rsidRDefault="009A3E9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552" w:type="dxa"/>
          </w:tcPr>
          <w:p w:rsidR="004E0A19" w:rsidRPr="00D6648E" w:rsidRDefault="00705F73" w:rsidP="004E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+ 67</w:t>
            </w:r>
          </w:p>
        </w:tc>
      </w:tr>
      <w:tr w:rsidR="004E0A19" w:rsidRPr="00D6648E" w:rsidTr="007E0BE1">
        <w:tc>
          <w:tcPr>
            <w:tcW w:w="886" w:type="dxa"/>
          </w:tcPr>
          <w:p w:rsidR="004E0A19" w:rsidRPr="00D6648E" w:rsidRDefault="004E0A19" w:rsidP="004E0A19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E0A19" w:rsidRPr="00D6648E" w:rsidRDefault="004E0A19" w:rsidP="004E0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988" w:type="dxa"/>
          </w:tcPr>
          <w:p w:rsidR="004E0A19" w:rsidRPr="00150BA2" w:rsidRDefault="004E0A19" w:rsidP="004E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1618</w:t>
            </w:r>
          </w:p>
        </w:tc>
        <w:tc>
          <w:tcPr>
            <w:tcW w:w="2126" w:type="dxa"/>
          </w:tcPr>
          <w:p w:rsidR="004E0A19" w:rsidRPr="00150BA2" w:rsidRDefault="009A3E93" w:rsidP="004E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1511</w:t>
            </w:r>
          </w:p>
        </w:tc>
        <w:tc>
          <w:tcPr>
            <w:tcW w:w="2552" w:type="dxa"/>
          </w:tcPr>
          <w:p w:rsidR="004E0A19" w:rsidRPr="00150BA2" w:rsidRDefault="00705F73" w:rsidP="004E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- 107</w:t>
            </w:r>
          </w:p>
        </w:tc>
      </w:tr>
    </w:tbl>
    <w:p w:rsidR="007E0BE1" w:rsidRDefault="007E0BE1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E445D9" w:rsidRDefault="005E0210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</w:rPr>
      </w:pPr>
      <w:r>
        <w:rPr>
          <w:noProof/>
        </w:rPr>
        <w:drawing>
          <wp:inline distT="0" distB="0" distL="0" distR="0">
            <wp:extent cx="5915025" cy="4371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45D9" w:rsidRDefault="00E445D9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</w:rPr>
      </w:pPr>
    </w:p>
    <w:p w:rsidR="00EF579F" w:rsidRPr="001916C4" w:rsidRDefault="00EF579F" w:rsidP="001916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Территориальная принадлежность поступающей корреспонденции изменилась в сравнении с 20</w:t>
      </w:r>
      <w:r w:rsidR="00F678A6" w:rsidRP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1916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годом. </w:t>
      </w:r>
      <w:r w:rsid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D64AB6" w:rsidRP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величилось количество обращений от жителей</w:t>
      </w:r>
      <w:r w:rsidR="001916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Супсехского</w:t>
      </w:r>
      <w:r w:rsidR="00BD32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1916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Первомайского сельских округов. </w:t>
      </w:r>
      <w:r w:rsidR="00BD3240">
        <w:rPr>
          <w:rFonts w:ascii="Times New Roman" w:eastAsia="Times New Roman" w:hAnsi="Times New Roman"/>
          <w:color w:val="000000" w:themeColor="text1"/>
          <w:sz w:val="28"/>
          <w:szCs w:val="28"/>
        </w:rPr>
        <w:t>Значительно у</w:t>
      </w:r>
      <w:r w:rsidRP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меньшилось количество обращений от жителей</w:t>
      </w:r>
      <w:r w:rsidR="001916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Анапского, Приморского, Витязевского, Благовещенского</w:t>
      </w:r>
      <w:r w:rsidR="00BD32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916C4">
        <w:rPr>
          <w:rFonts w:ascii="Times New Roman" w:eastAsia="Times New Roman" w:hAnsi="Times New Roman"/>
          <w:color w:val="000000" w:themeColor="text1"/>
          <w:sz w:val="28"/>
          <w:szCs w:val="28"/>
        </w:rPr>
        <w:t>сельских округов.</w:t>
      </w:r>
    </w:p>
    <w:p w:rsidR="001D027D" w:rsidRPr="00A676F9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первом полугодии 2023</w:t>
      </w:r>
      <w:r w:rsidRPr="006E3F8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6E3F8D">
        <w:rPr>
          <w:rFonts w:ascii="Times New Roman" w:hAnsi="Times New Roman" w:cs="Times New Roman"/>
          <w:sz w:val="28"/>
        </w:rPr>
        <w:t xml:space="preserve"> проведено</w:t>
      </w:r>
      <w:r>
        <w:rPr>
          <w:rFonts w:ascii="Times New Roman" w:hAnsi="Times New Roman" w:cs="Times New Roman"/>
          <w:sz w:val="28"/>
        </w:rPr>
        <w:t xml:space="preserve"> 107</w:t>
      </w:r>
      <w:r w:rsidRPr="006E3F8D">
        <w:rPr>
          <w:rFonts w:ascii="Times New Roman" w:hAnsi="Times New Roman" w:cs="Times New Roman"/>
          <w:sz w:val="28"/>
        </w:rPr>
        <w:t xml:space="preserve"> личных</w:t>
      </w:r>
      <w:r>
        <w:rPr>
          <w:rFonts w:ascii="Times New Roman" w:hAnsi="Times New Roman" w:cs="Times New Roman"/>
          <w:sz w:val="28"/>
        </w:rPr>
        <w:t xml:space="preserve"> и выездных</w:t>
      </w:r>
      <w:r w:rsidRPr="006E3F8D">
        <w:rPr>
          <w:rFonts w:ascii="Times New Roman" w:hAnsi="Times New Roman" w:cs="Times New Roman"/>
          <w:sz w:val="28"/>
        </w:rPr>
        <w:t xml:space="preserve"> приемов граждан руководством администрации муниципального образования город-куро</w:t>
      </w:r>
      <w:r>
        <w:rPr>
          <w:rFonts w:ascii="Times New Roman" w:hAnsi="Times New Roman" w:cs="Times New Roman"/>
          <w:sz w:val="28"/>
        </w:rPr>
        <w:t>рт Анапа (за аналогичный период 2022 года</w:t>
      </w:r>
      <w:r w:rsidR="00F57D1A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A676F9">
        <w:rPr>
          <w:rFonts w:ascii="Times New Roman" w:hAnsi="Times New Roman" w:cs="Times New Roman"/>
          <w:sz w:val="28"/>
        </w:rPr>
        <w:t xml:space="preserve">74 личных приема), на которых принято </w:t>
      </w:r>
      <w:r>
        <w:rPr>
          <w:rFonts w:ascii="Times New Roman" w:hAnsi="Times New Roman" w:cs="Times New Roman"/>
          <w:sz w:val="28"/>
        </w:rPr>
        <w:t>548</w:t>
      </w:r>
      <w:r w:rsidRPr="00A676F9">
        <w:rPr>
          <w:rFonts w:ascii="Times New Roman" w:hAnsi="Times New Roman" w:cs="Times New Roman"/>
          <w:sz w:val="28"/>
        </w:rPr>
        <w:t xml:space="preserve"> человек (за аналогичный период 2022 года – 444), из них главой муниципального образования город-курорт Анапа – 206 человек (за аналогичный период 2022 года – 61).</w:t>
      </w:r>
    </w:p>
    <w:p w:rsidR="001D027D" w:rsidRPr="006E3F8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E3F8D">
        <w:rPr>
          <w:rFonts w:ascii="Times New Roman" w:hAnsi="Times New Roman" w:cs="Times New Roman"/>
          <w:sz w:val="28"/>
        </w:rPr>
        <w:t>За отчетный период проведено</w:t>
      </w:r>
      <w:r>
        <w:rPr>
          <w:rFonts w:ascii="Times New Roman" w:hAnsi="Times New Roman" w:cs="Times New Roman"/>
          <w:sz w:val="28"/>
        </w:rPr>
        <w:t xml:space="preserve"> 8</w:t>
      </w:r>
      <w:r w:rsidRPr="006E3F8D">
        <w:rPr>
          <w:rFonts w:ascii="Times New Roman" w:hAnsi="Times New Roman" w:cs="Times New Roman"/>
          <w:sz w:val="28"/>
        </w:rPr>
        <w:t xml:space="preserve"> выездных приемов главой муниципального образования город-курорт Анапа, на которых принято </w:t>
      </w:r>
      <w:r>
        <w:rPr>
          <w:rFonts w:ascii="Times New Roman" w:hAnsi="Times New Roman" w:cs="Times New Roman"/>
          <w:sz w:val="28"/>
        </w:rPr>
        <w:t>112</w:t>
      </w:r>
      <w:r w:rsidRPr="006E3F8D">
        <w:rPr>
          <w:rFonts w:ascii="Times New Roman" w:hAnsi="Times New Roman" w:cs="Times New Roman"/>
          <w:sz w:val="28"/>
        </w:rPr>
        <w:t xml:space="preserve"> человек. До приема традиционно проводится рабочий объезд территории населенных пунктов округа, где запланирован прием. 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rFonts w:ascii="Times New Roman" w:hAnsi="Times New Roman" w:cs="Times New Roman"/>
          <w:sz w:val="28"/>
        </w:rPr>
        <w:t xml:space="preserve">В </w:t>
      </w:r>
      <w:r w:rsidRPr="00C51974">
        <w:rPr>
          <w:rFonts w:ascii="Times New Roman" w:hAnsi="Times New Roman" w:cs="Times New Roman"/>
          <w:sz w:val="28"/>
          <w:szCs w:val="28"/>
        </w:rPr>
        <w:t>отчетном периоде проведен 1 прием граждан с участием 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51974">
        <w:rPr>
          <w:rFonts w:ascii="Times New Roman" w:hAnsi="Times New Roman" w:cs="Times New Roman"/>
          <w:sz w:val="28"/>
          <w:szCs w:val="28"/>
        </w:rPr>
        <w:t xml:space="preserve"> Демченко Ивана Ивановича и председателя Законодательного собрания Краснодарского края Бурлачко Юрия Александровича. В ходе пр</w:t>
      </w:r>
      <w:r>
        <w:rPr>
          <w:rFonts w:ascii="Times New Roman" w:hAnsi="Times New Roman" w:cs="Times New Roman"/>
          <w:sz w:val="28"/>
          <w:szCs w:val="28"/>
        </w:rPr>
        <w:t>оведенного приема было принято 6</w:t>
      </w:r>
      <w:r w:rsidRPr="00C51974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74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на личных и выездных приемах главы и заместителей главы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0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818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81881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первое полугодие 2022 года – 38,7 %)</w:t>
      </w:r>
      <w:r w:rsidRPr="00681881">
        <w:rPr>
          <w:rFonts w:ascii="Times New Roman" w:hAnsi="Times New Roman" w:cs="Times New Roman"/>
          <w:b/>
          <w:sz w:val="28"/>
          <w:szCs w:val="28"/>
        </w:rPr>
        <w:t>.</w:t>
      </w:r>
      <w:r w:rsidRPr="00C51974">
        <w:rPr>
          <w:rFonts w:ascii="Times New Roman" w:hAnsi="Times New Roman" w:cs="Times New Roman"/>
          <w:sz w:val="28"/>
          <w:szCs w:val="28"/>
        </w:rPr>
        <w:t xml:space="preserve"> Чаще всего граждане обращались с вопросами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работ по ремонту дорожного полотна, увеличения мощности электроэнергии в частных домовладениях, строительства линий уличного освещения, начисления коммунальных услуг, содержания общедомового имущества в многоквартирном доме и деятельности управляющих компаний, подключения газа к частным домовладениям. 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81881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первое полугодие 2022 года – 27,9 %)</w:t>
      </w:r>
      <w:r w:rsidRPr="00C5197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C51974">
        <w:rPr>
          <w:rFonts w:ascii="Times New Roman" w:hAnsi="Times New Roman" w:cs="Times New Roman"/>
          <w:sz w:val="28"/>
          <w:szCs w:val="28"/>
        </w:rPr>
        <w:t xml:space="preserve">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архитектуры, градостроительной деятельности и капитального строительства</w:t>
      </w:r>
      <w:r w:rsidRPr="00C51974">
        <w:rPr>
          <w:rFonts w:ascii="Times New Roman" w:hAnsi="Times New Roman" w:cs="Times New Roman"/>
          <w:sz w:val="28"/>
          <w:szCs w:val="28"/>
        </w:rPr>
        <w:t xml:space="preserve">. Основную часть обращений составляли вопросы </w:t>
      </w:r>
      <w:r>
        <w:rPr>
          <w:rFonts w:ascii="Times New Roman" w:hAnsi="Times New Roman" w:cs="Times New Roman"/>
          <w:sz w:val="28"/>
          <w:szCs w:val="28"/>
        </w:rPr>
        <w:t xml:space="preserve">изменения вида разрешенного использования земельных участков, присвоения адреса объекту адресации, утверждения схемы расположения земельных участков на кадастровом плане территории, изменения зонирования </w:t>
      </w:r>
      <w:r w:rsidRPr="00C51974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, газификации сельских населенных пунктов.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1881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84">
        <w:rPr>
          <w:rFonts w:ascii="Times New Roman" w:hAnsi="Times New Roman" w:cs="Times New Roman"/>
          <w:sz w:val="28"/>
          <w:szCs w:val="28"/>
        </w:rPr>
        <w:t xml:space="preserve">составляют обращения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правовой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первое полугодие 2022 года – 9,5 %)</w:t>
      </w:r>
      <w:r w:rsidRPr="005F0F84">
        <w:rPr>
          <w:rFonts w:ascii="Times New Roman" w:hAnsi="Times New Roman" w:cs="Times New Roman"/>
          <w:sz w:val="28"/>
          <w:szCs w:val="28"/>
        </w:rPr>
        <w:t>. Преобладающими вопросами в данной сфере являются вопросы восстановления нарушенных прав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>, сохранения объектов недвижимого имущества.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81881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имущественных отношений и жилищной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первое полугодие 2022 года – 7,4 %)</w:t>
      </w:r>
      <w:r>
        <w:rPr>
          <w:rFonts w:ascii="Times New Roman" w:hAnsi="Times New Roman" w:cs="Times New Roman"/>
          <w:sz w:val="28"/>
          <w:szCs w:val="28"/>
        </w:rPr>
        <w:t>. Основную часть составляют обращения о постановке на учет в качестве лиц, имеющих право на предоставление земельных участков,</w:t>
      </w:r>
      <w:r w:rsidRPr="0036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жилых помещений, заключении договора аренды земельного участка.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81881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обращений составляют </w:t>
      </w:r>
      <w:r w:rsidRPr="00681881">
        <w:rPr>
          <w:rFonts w:ascii="Times New Roman" w:hAnsi="Times New Roman" w:cs="Times New Roman"/>
          <w:b/>
          <w:sz w:val="28"/>
          <w:szCs w:val="28"/>
        </w:rPr>
        <w:t>вопросы социальной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первое полугодие 2022 года – 9,2 %)</w:t>
      </w:r>
      <w:r>
        <w:rPr>
          <w:rFonts w:ascii="Times New Roman" w:hAnsi="Times New Roman" w:cs="Times New Roman"/>
          <w:sz w:val="28"/>
          <w:szCs w:val="28"/>
        </w:rPr>
        <w:t xml:space="preserve">. Среди них наиболее остро стоит вопрос предоставления мест в дошкольных образовательных учреждениях преимущественно на полный день по </w:t>
      </w:r>
      <w:r w:rsidRPr="00302822">
        <w:rPr>
          <w:rFonts w:ascii="Times New Roman" w:hAnsi="Times New Roman" w:cs="Times New Roman"/>
          <w:sz w:val="28"/>
          <w:szCs w:val="28"/>
        </w:rPr>
        <w:t xml:space="preserve">месту фактического проживания ребенка. Среди данных вопросов можно также выделить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302822">
        <w:rPr>
          <w:rFonts w:ascii="Times New Roman" w:hAnsi="Times New Roman"/>
          <w:sz w:val="28"/>
          <w:szCs w:val="28"/>
        </w:rPr>
        <w:t>военно-патриотического воспитания детей, молодежи 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8188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5F0F84">
        <w:rPr>
          <w:rFonts w:ascii="Times New Roman" w:hAnsi="Times New Roman" w:cs="Times New Roman"/>
          <w:sz w:val="28"/>
          <w:szCs w:val="28"/>
        </w:rPr>
        <w:t xml:space="preserve"> обращений приходится </w:t>
      </w:r>
      <w:r w:rsidRPr="00681881">
        <w:rPr>
          <w:rFonts w:ascii="Times New Roman" w:hAnsi="Times New Roman" w:cs="Times New Roman"/>
          <w:b/>
          <w:sz w:val="28"/>
          <w:szCs w:val="28"/>
        </w:rPr>
        <w:t>на потребительскую сферу, агропромышленный и санаторно-курортный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первое полугодие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2022 года – 3,2 %)</w:t>
      </w:r>
      <w:r w:rsidRPr="005F0F84">
        <w:rPr>
          <w:rFonts w:ascii="Times New Roman" w:hAnsi="Times New Roman" w:cs="Times New Roman"/>
          <w:sz w:val="28"/>
          <w:szCs w:val="28"/>
        </w:rPr>
        <w:t xml:space="preserve">. Основную часть таких обращений составляют вопросы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торговых мест, осуществления проверки предприятий общественного питания, благоустройства пляжных территорий, развития сельского хозяйства, </w:t>
      </w:r>
    </w:p>
    <w:p w:rsidR="001D027D" w:rsidRPr="0022011A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1A">
        <w:rPr>
          <w:rFonts w:ascii="Times New Roman" w:hAnsi="Times New Roman" w:cs="Times New Roman"/>
          <w:b/>
          <w:sz w:val="28"/>
          <w:szCs w:val="28"/>
        </w:rPr>
        <w:t>4 %</w:t>
      </w:r>
      <w:r w:rsidRPr="0022011A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22011A">
        <w:rPr>
          <w:rFonts w:ascii="Times New Roman" w:hAnsi="Times New Roman" w:cs="Times New Roman"/>
          <w:b/>
          <w:sz w:val="28"/>
          <w:szCs w:val="28"/>
        </w:rPr>
        <w:t xml:space="preserve">по вопросам, связанным с </w:t>
      </w:r>
      <w:proofErr w:type="gramStart"/>
      <w:r w:rsidRPr="0022011A">
        <w:rPr>
          <w:rFonts w:ascii="Times New Roman" w:hAnsi="Times New Roman" w:cs="Times New Roman"/>
          <w:b/>
          <w:sz w:val="28"/>
          <w:szCs w:val="28"/>
        </w:rPr>
        <w:t>осуществлением  муниципального</w:t>
      </w:r>
      <w:proofErr w:type="gramEnd"/>
      <w:r w:rsidRPr="0022011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22011A">
        <w:rPr>
          <w:rFonts w:ascii="Times New Roman" w:hAnsi="Times New Roman" w:cs="Times New Roman"/>
          <w:sz w:val="28"/>
          <w:szCs w:val="28"/>
        </w:rPr>
        <w:t>. Граждане чаще всего обращались по вопросам проведения проверок соблюдения требований земельного и градостроительного законодательства.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b/>
          <w:sz w:val="28"/>
          <w:szCs w:val="28"/>
        </w:rPr>
        <w:t>4 %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681881">
        <w:rPr>
          <w:rFonts w:ascii="Times New Roman" w:hAnsi="Times New Roman" w:cs="Times New Roman"/>
          <w:b/>
          <w:sz w:val="28"/>
          <w:szCs w:val="28"/>
        </w:rPr>
        <w:t>по вопросам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 Чаще всего граждане обращались по вопросам обустройства искусственных неровностей и ограничительных знаков дорожного движения, изменения и увеличения маршрута общественного транспорта.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441">
        <w:rPr>
          <w:rFonts w:ascii="Times New Roman" w:hAnsi="Times New Roman" w:cs="Times New Roman"/>
          <w:b/>
          <w:sz w:val="28"/>
          <w:szCs w:val="28"/>
        </w:rPr>
        <w:t>3 %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1F03DF">
        <w:rPr>
          <w:rFonts w:ascii="Times New Roman" w:hAnsi="Times New Roman" w:cs="Times New Roman"/>
          <w:b/>
          <w:sz w:val="28"/>
          <w:szCs w:val="28"/>
        </w:rPr>
        <w:t>по вопросам информатизации и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1974">
        <w:rPr>
          <w:rFonts w:ascii="Times New Roman" w:hAnsi="Times New Roman" w:cs="Times New Roman"/>
          <w:sz w:val="28"/>
          <w:szCs w:val="28"/>
        </w:rPr>
        <w:t>Основную часть обращений составляли вопросы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платных парковок на территории муниципального образования г-к Анапа, законности размещения вышек сотовой связи.</w:t>
      </w: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9CF">
        <w:rPr>
          <w:rFonts w:ascii="Times New Roman" w:hAnsi="Times New Roman" w:cs="Times New Roman"/>
          <w:b/>
          <w:sz w:val="28"/>
          <w:szCs w:val="28"/>
        </w:rPr>
        <w:t>3 %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Pr="001F03DF">
        <w:rPr>
          <w:rFonts w:ascii="Times New Roman" w:hAnsi="Times New Roman" w:cs="Times New Roman"/>
          <w:b/>
          <w:sz w:val="28"/>
          <w:szCs w:val="28"/>
        </w:rPr>
        <w:t>по вопросам осуществления взаимодействия с военнослужащими</w:t>
      </w:r>
      <w:r>
        <w:rPr>
          <w:rFonts w:ascii="Times New Roman" w:hAnsi="Times New Roman" w:cs="Times New Roman"/>
          <w:sz w:val="28"/>
          <w:szCs w:val="28"/>
        </w:rPr>
        <w:t xml:space="preserve">. Чаще всего граждане обращались по вопросам получения удостоверения ветерана боевых действия, внесение записи в военный билет и другим вопросам. </w:t>
      </w:r>
    </w:p>
    <w:p w:rsidR="001D027D" w:rsidRPr="007172EC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172EC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7172E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1F03DF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Pr="001F03DF">
        <w:rPr>
          <w:rFonts w:ascii="Times New Roman" w:hAnsi="Times New Roman"/>
          <w:b/>
          <w:sz w:val="28"/>
          <w:szCs w:val="28"/>
        </w:rPr>
        <w:t>инвестиционной деятельности и перспективного развития</w:t>
      </w:r>
      <w:r>
        <w:rPr>
          <w:rFonts w:ascii="Times New Roman" w:hAnsi="Times New Roman"/>
          <w:sz w:val="28"/>
          <w:szCs w:val="28"/>
        </w:rPr>
        <w:t xml:space="preserve">. По большей части граждане обращались с вопросами о перспективах реализации инвестиционных проектов на территории муниципального образования город-курорт Анапа, оказании помощи субъектам малого и среднего предпринимательства.   </w:t>
      </w:r>
    </w:p>
    <w:p w:rsidR="001D027D" w:rsidRPr="007172EC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обращений</w:t>
      </w:r>
      <w:r w:rsidRPr="001F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681881">
        <w:rPr>
          <w:rFonts w:ascii="Times New Roman" w:hAnsi="Times New Roman" w:cs="Times New Roman"/>
          <w:b/>
          <w:sz w:val="28"/>
          <w:szCs w:val="28"/>
        </w:rPr>
        <w:t>вопросы внутренней политики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можно выделить вопросы осуществления деятельности органов                        территориально-общественного самоуправления, рассмотрения предложения для занесения кандидата на Доску почёта муниципального образования город-курорт Анапа, </w:t>
      </w:r>
      <w:r w:rsidRPr="001C1684">
        <w:rPr>
          <w:rFonts w:ascii="Times New Roman" w:hAnsi="Times New Roman"/>
          <w:sz w:val="28"/>
          <w:szCs w:val="28"/>
        </w:rPr>
        <w:t>деятельности административной комиссии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27D" w:rsidRPr="007172EC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Pr="007172EC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1D027D" w:rsidP="001D027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7D" w:rsidRDefault="00CC4F60" w:rsidP="001D027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F8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22E9E6" wp14:editId="1F740681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6477000" cy="73152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1D027D" w:rsidRDefault="001D027D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A01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для существенного снижения количества обращений граждан </w:t>
      </w:r>
      <w:r w:rsidR="00FF458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FF458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разъяснительн</w:t>
      </w:r>
      <w:r w:rsidR="00FF4588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F45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 населением используя различные формы:</w:t>
      </w:r>
    </w:p>
    <w:p w:rsidR="00030A01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взаимодействия с заявителем (в том числе рассмотрения обращений граждан комиссионно с выездом на место и с участием заявителя);</w:t>
      </w:r>
    </w:p>
    <w:p w:rsidR="00030A01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«Прямых эфиров»</w:t>
      </w:r>
      <w:r w:rsidR="006F516E">
        <w:rPr>
          <w:rFonts w:ascii="Times New Roman" w:hAnsi="Times New Roman" w:cs="Times New Roman"/>
          <w:sz w:val="28"/>
          <w:szCs w:val="28"/>
        </w:rPr>
        <w:t xml:space="preserve"> заместителями главы и</w:t>
      </w:r>
      <w:r>
        <w:rPr>
          <w:rFonts w:ascii="Times New Roman" w:hAnsi="Times New Roman" w:cs="Times New Roman"/>
          <w:sz w:val="28"/>
          <w:szCs w:val="28"/>
        </w:rPr>
        <w:t xml:space="preserve"> начальниками управлений (отделов) администрации;</w:t>
      </w:r>
    </w:p>
    <w:p w:rsidR="003C0AFE" w:rsidRDefault="00030A01" w:rsidP="003A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электронные и печатные средства массовой информации, интернет-сайтов, другие справочно-информационные систем для регулярного информирования граждан (в том числе на официальных аккаунтах а</w:t>
      </w:r>
      <w:r w:rsidR="003C0AFE">
        <w:rPr>
          <w:rFonts w:ascii="Times New Roman" w:hAnsi="Times New Roman" w:cs="Times New Roman"/>
          <w:sz w:val="28"/>
          <w:szCs w:val="28"/>
        </w:rPr>
        <w:t>дминистрации в социальных сетях «Одноклассники», «</w:t>
      </w:r>
      <w:proofErr w:type="spellStart"/>
      <w:r w:rsidR="003C0A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C0AFE">
        <w:rPr>
          <w:rFonts w:ascii="Times New Roman" w:hAnsi="Times New Roman" w:cs="Times New Roman"/>
          <w:sz w:val="28"/>
          <w:szCs w:val="28"/>
        </w:rPr>
        <w:t>» и т.д.);</w:t>
      </w:r>
    </w:p>
    <w:p w:rsidR="00503C20" w:rsidRDefault="003C0AFE" w:rsidP="0050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публикации тематических дайджестов на сайте администрации с ответом на самые распространенные вопросы в обращениях граждан. </w:t>
      </w:r>
      <w:r w:rsidR="00030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502" w:rsidRPr="00503C20" w:rsidRDefault="000B5502" w:rsidP="0050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Ведется </w:t>
      </w:r>
      <w:r w:rsidRPr="00CB662E">
        <w:rPr>
          <w:rFonts w:ascii="Times New Roman" w:eastAsia="Calibri" w:hAnsi="Times New Roman" w:cs="Times New Roman"/>
          <w:sz w:val="28"/>
          <w:szCs w:val="28"/>
        </w:rPr>
        <w:t>активное взаимодействие со СМИ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в части освещения работы с обращениями граждан: материалы публикуются в печатных изданиях «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Анапское</w:t>
      </w:r>
      <w:proofErr w:type="spellEnd"/>
      <w:r w:rsidR="00503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Черномор</w:t>
      </w:r>
      <w:r>
        <w:rPr>
          <w:rFonts w:ascii="Times New Roman" w:eastAsia="Calibri" w:hAnsi="Times New Roman" w:cs="Times New Roman"/>
          <w:sz w:val="28"/>
          <w:szCs w:val="28"/>
        </w:rPr>
        <w:t>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Черноморка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.  На местном телеканале «Анапа Регион» выходят сюжеты о проблемных вопросах, которые озвучивают на личном приеме граждане. </w:t>
      </w:r>
    </w:p>
    <w:p w:rsidR="000B5502" w:rsidRPr="00861617" w:rsidRDefault="000B5502" w:rsidP="000B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  <w:t xml:space="preserve">В работе с обращениями граждан администрация активно использует современные 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медиаресурсы</w:t>
      </w:r>
      <w:proofErr w:type="spellEnd"/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, в частности, мессенджеры и социальные сети, отвечая на многочисленные комментарии и обращения подписчиков в </w:t>
      </w:r>
      <w:proofErr w:type="spellStart"/>
      <w:r w:rsidRPr="00861617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(личная переписка). Благодаря этому удается многие проблемы решать максимально оперативно, предоставлять заявителям актуальную информацию простым доступным языком, иметь живую обратную связь с гражданами.</w:t>
      </w:r>
    </w:p>
    <w:p w:rsidR="000B5502" w:rsidRDefault="000B5502" w:rsidP="000B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</w:r>
      <w:r w:rsidRPr="00CB662E">
        <w:rPr>
          <w:rFonts w:ascii="Times New Roman" w:eastAsia="Calibri" w:hAnsi="Times New Roman" w:cs="Times New Roman"/>
          <w:sz w:val="28"/>
          <w:szCs w:val="28"/>
        </w:rPr>
        <w:t>Ведется постоянный мониторинг настроений жителей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муниципалитета. Анализ заявлений, предложений и жалоб граждан используется при подготовке выездных приемов и проведении совещаний по основным направлениям социально-экономического и политического развития городского округа. </w:t>
      </w:r>
    </w:p>
    <w:p w:rsidR="00E26FE9" w:rsidRPr="009601C7" w:rsidRDefault="007D6D14" w:rsidP="000B55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601C7">
        <w:rPr>
          <w:rFonts w:ascii="Times New Roman" w:eastAsia="Calibri" w:hAnsi="Times New Roman" w:cs="Times New Roman"/>
          <w:sz w:val="28"/>
          <w:szCs w:val="28"/>
        </w:rPr>
        <w:t xml:space="preserve">Также на постоянной основе </w:t>
      </w:r>
      <w:r w:rsidR="00FB776A" w:rsidRPr="009601C7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образования город-курорт Анапа </w:t>
      </w:r>
      <w:r w:rsidRPr="009601C7">
        <w:rPr>
          <w:rFonts w:ascii="Times New Roman" w:eastAsia="Calibri" w:hAnsi="Times New Roman" w:cs="Times New Roman"/>
          <w:sz w:val="28"/>
          <w:szCs w:val="28"/>
        </w:rPr>
        <w:t>проводится анализ коллективных и повторных обращений граждан</w:t>
      </w:r>
      <w:r w:rsidR="00E26FE9" w:rsidRPr="009601C7">
        <w:rPr>
          <w:rFonts w:ascii="Times New Roman" w:eastAsia="Calibri" w:hAnsi="Times New Roman" w:cs="Times New Roman"/>
          <w:sz w:val="28"/>
          <w:szCs w:val="28"/>
        </w:rPr>
        <w:t xml:space="preserve"> с последующим проведением личных </w:t>
      </w:r>
      <w:r w:rsidR="00E26FE9" w:rsidRPr="009601C7">
        <w:rPr>
          <w:rFonts w:ascii="Times New Roman" w:hAnsi="Times New Roman" w:cs="Times New Roman"/>
          <w:sz w:val="28"/>
        </w:rPr>
        <w:t>приемов граждан руководством администр</w:t>
      </w:r>
      <w:r w:rsidR="009601C7">
        <w:rPr>
          <w:rFonts w:ascii="Times New Roman" w:hAnsi="Times New Roman" w:cs="Times New Roman"/>
          <w:sz w:val="28"/>
        </w:rPr>
        <w:t xml:space="preserve">ации муниципального образования </w:t>
      </w:r>
      <w:r w:rsidR="00E26FE9" w:rsidRPr="009601C7">
        <w:rPr>
          <w:rFonts w:ascii="Times New Roman" w:hAnsi="Times New Roman" w:cs="Times New Roman"/>
          <w:sz w:val="28"/>
        </w:rPr>
        <w:t>город-курорт Анапа для своевременного и качественного разрешения проблем, содержащихся в обращениях, что в значительной мере способствует удовлетворению нужд и запросов граждан, снятию напряженности в обществе</w:t>
      </w:r>
      <w:r w:rsidR="00FB776A" w:rsidRPr="009601C7">
        <w:rPr>
          <w:rFonts w:ascii="Times New Roman" w:hAnsi="Times New Roman" w:cs="Times New Roman"/>
          <w:sz w:val="28"/>
        </w:rPr>
        <w:t>,</w:t>
      </w:r>
      <w:r w:rsidR="00E26FE9" w:rsidRPr="009601C7">
        <w:rPr>
          <w:rFonts w:ascii="Times New Roman" w:hAnsi="Times New Roman" w:cs="Times New Roman"/>
          <w:sz w:val="28"/>
        </w:rPr>
        <w:t xml:space="preserve"> повышению авторитета муниципалитета, укреплению связи с населением.  </w:t>
      </w:r>
    </w:p>
    <w:p w:rsidR="000B5502" w:rsidRDefault="00E26FE9" w:rsidP="000B5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B5502" w:rsidRPr="00861617">
        <w:rPr>
          <w:rFonts w:ascii="Times New Roman" w:eastAsia="Calibri" w:hAnsi="Times New Roman" w:cs="Times New Roman"/>
          <w:sz w:val="28"/>
          <w:szCs w:val="28"/>
        </w:rPr>
        <w:tab/>
        <w:t xml:space="preserve">Специалистами отдела по работе с обращениями граждан администрации </w:t>
      </w:r>
      <w:r w:rsidR="000B5502" w:rsidRPr="00CB662E">
        <w:rPr>
          <w:rFonts w:ascii="Times New Roman" w:eastAsia="Calibri" w:hAnsi="Times New Roman" w:cs="Times New Roman"/>
          <w:sz w:val="28"/>
          <w:szCs w:val="28"/>
        </w:rPr>
        <w:t>проводится еженедельный анализ исполнительской дисциплины по работе с обращениями граждан</w:t>
      </w:r>
      <w:r w:rsidR="000B5502" w:rsidRPr="00861617">
        <w:rPr>
          <w:rFonts w:ascii="Times New Roman" w:eastAsia="Calibri" w:hAnsi="Times New Roman" w:cs="Times New Roman"/>
          <w:sz w:val="28"/>
          <w:szCs w:val="28"/>
        </w:rPr>
        <w:t>. В случаях нарушения сроков рассмотрения обращений граждан принимаются меры дисциплинарного воздействия к сотруднику администрации, допустившему нарушение действующего законодательства.</w:t>
      </w:r>
      <w:r w:rsidR="00503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502">
        <w:rPr>
          <w:rFonts w:ascii="Times New Roman" w:eastAsia="Calibri" w:hAnsi="Times New Roman" w:cs="Times New Roman"/>
          <w:sz w:val="28"/>
          <w:szCs w:val="28"/>
        </w:rPr>
        <w:t>За отчетный период 1</w:t>
      </w:r>
      <w:r w:rsidR="00503C20">
        <w:rPr>
          <w:rFonts w:ascii="Times New Roman" w:eastAsia="Calibri" w:hAnsi="Times New Roman" w:cs="Times New Roman"/>
          <w:sz w:val="28"/>
          <w:szCs w:val="28"/>
        </w:rPr>
        <w:t>1</w:t>
      </w:r>
      <w:r w:rsidR="000B5502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привлечено к дисциплинарной ответственности.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282">
        <w:rPr>
          <w:rFonts w:ascii="Times New Roman" w:eastAsia="Calibri" w:hAnsi="Times New Roman" w:cs="Times New Roman"/>
          <w:sz w:val="28"/>
          <w:szCs w:val="28"/>
        </w:rPr>
        <w:t>В 1 полугодии 202</w:t>
      </w:r>
      <w:r w:rsidR="00503C20">
        <w:rPr>
          <w:rFonts w:ascii="Times New Roman" w:eastAsia="Calibri" w:hAnsi="Times New Roman" w:cs="Times New Roman"/>
          <w:sz w:val="28"/>
          <w:szCs w:val="28"/>
        </w:rPr>
        <w:t>3</w:t>
      </w:r>
      <w:r w:rsidR="0070628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503C20">
        <w:rPr>
          <w:rFonts w:ascii="Times New Roman" w:eastAsia="Calibri" w:hAnsi="Times New Roman" w:cs="Times New Roman"/>
          <w:sz w:val="28"/>
          <w:szCs w:val="28"/>
        </w:rPr>
        <w:t>5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семинаров с муниципальными служащими по изучению законодательства по рассмотрению обращений граждан и качеству подготовки ответов. </w:t>
      </w:r>
      <w:r w:rsidR="00706282">
        <w:rPr>
          <w:rFonts w:ascii="Times New Roman" w:eastAsia="Calibri" w:hAnsi="Times New Roman" w:cs="Times New Roman"/>
          <w:sz w:val="28"/>
          <w:szCs w:val="28"/>
        </w:rPr>
        <w:t>На постоянной основе под</w:t>
      </w:r>
      <w:r w:rsidR="00503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282">
        <w:rPr>
          <w:rFonts w:ascii="Times New Roman" w:eastAsia="Calibri" w:hAnsi="Times New Roman" w:cs="Times New Roman"/>
          <w:sz w:val="28"/>
          <w:szCs w:val="28"/>
        </w:rPr>
        <w:t>председательством</w:t>
      </w:r>
      <w:r w:rsidR="00EC613B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муниципального образования город-курорт Анапа, курирующим вопросы работы с обращениями граждан,</w:t>
      </w:r>
      <w:r w:rsidR="00706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588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CB662E">
        <w:rPr>
          <w:rFonts w:ascii="Times New Roman" w:eastAsia="Calibri" w:hAnsi="Times New Roman" w:cs="Times New Roman"/>
          <w:sz w:val="28"/>
          <w:szCs w:val="28"/>
        </w:rPr>
        <w:t xml:space="preserve">ятся </w:t>
      </w:r>
      <w:r w:rsidR="00FF4588">
        <w:rPr>
          <w:rFonts w:ascii="Times New Roman" w:eastAsia="Calibri" w:hAnsi="Times New Roman" w:cs="Times New Roman"/>
          <w:sz w:val="28"/>
          <w:szCs w:val="28"/>
        </w:rPr>
        <w:t>«Час</w:t>
      </w:r>
      <w:r w:rsidR="00CB662E">
        <w:rPr>
          <w:rFonts w:ascii="Times New Roman" w:eastAsia="Calibri" w:hAnsi="Times New Roman" w:cs="Times New Roman"/>
          <w:sz w:val="28"/>
          <w:szCs w:val="28"/>
        </w:rPr>
        <w:t>ы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контроля»</w:t>
      </w:r>
      <w:r w:rsidR="00706282">
        <w:rPr>
          <w:rFonts w:ascii="Times New Roman" w:eastAsia="Calibri" w:hAnsi="Times New Roman" w:cs="Times New Roman"/>
          <w:sz w:val="28"/>
          <w:szCs w:val="28"/>
        </w:rPr>
        <w:t>.</w:t>
      </w:r>
      <w:r w:rsidR="00FF458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96608" w:rsidRPr="009601C7" w:rsidRDefault="00D96608" w:rsidP="00D96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601C7">
        <w:rPr>
          <w:rFonts w:ascii="Times New Roman" w:eastAsia="Calibri" w:hAnsi="Times New Roman" w:cs="Times New Roman"/>
          <w:sz w:val="28"/>
          <w:szCs w:val="28"/>
        </w:rPr>
        <w:t>С 2023 года на ежедневной основе проводится оперативный штаб ресурсоснабжающих организаций (далее – РСО) в тесном взаимодействии</w:t>
      </w:r>
      <w:r w:rsidR="007942A4" w:rsidRPr="00960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C7">
        <w:rPr>
          <w:rFonts w:ascii="Times New Roman" w:eastAsia="Calibri" w:hAnsi="Times New Roman" w:cs="Times New Roman"/>
          <w:sz w:val="28"/>
          <w:szCs w:val="28"/>
        </w:rPr>
        <w:t>структурных подразделений администрации муниципального образования</w:t>
      </w:r>
      <w:r w:rsidR="007942A4" w:rsidRPr="009601C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601C7">
        <w:rPr>
          <w:rFonts w:ascii="Times New Roman" w:eastAsia="Calibri" w:hAnsi="Times New Roman" w:cs="Times New Roman"/>
          <w:sz w:val="28"/>
          <w:szCs w:val="28"/>
        </w:rPr>
        <w:t xml:space="preserve"> город-курорт Анапа, ресурсоснабжающих организаций, управляющих компаний</w:t>
      </w:r>
      <w:r w:rsidR="007942A4" w:rsidRPr="009601C7">
        <w:rPr>
          <w:rFonts w:ascii="Times New Roman" w:eastAsia="Calibri" w:hAnsi="Times New Roman" w:cs="Times New Roman"/>
          <w:sz w:val="28"/>
          <w:szCs w:val="28"/>
        </w:rPr>
        <w:t xml:space="preserve">, с участием депутатов Совета муниципального образования город-курорт Анапа, представителей прокуратуры и органов территориального общественного самоуправления, что позволяет оперативно решать поступающие от анапчан </w:t>
      </w:r>
      <w:r w:rsidR="007942A4" w:rsidRPr="009601C7">
        <w:rPr>
          <w:rFonts w:ascii="Times New Roman" w:eastAsia="Calibri" w:hAnsi="Times New Roman" w:cs="Times New Roman"/>
          <w:sz w:val="28"/>
          <w:szCs w:val="28"/>
        </w:rPr>
        <w:lastRenderedPageBreak/>
        <w:t>вопросы</w:t>
      </w:r>
      <w:r w:rsidR="00D023F2" w:rsidRPr="009601C7">
        <w:rPr>
          <w:rFonts w:ascii="Times New Roman" w:eastAsia="Calibri" w:hAnsi="Times New Roman" w:cs="Times New Roman"/>
          <w:sz w:val="28"/>
          <w:szCs w:val="28"/>
        </w:rPr>
        <w:t>, ч</w:t>
      </w:r>
      <w:r w:rsidRPr="009601C7">
        <w:rPr>
          <w:rFonts w:ascii="Times New Roman" w:eastAsia="Calibri" w:hAnsi="Times New Roman" w:cs="Times New Roman"/>
          <w:sz w:val="28"/>
          <w:szCs w:val="28"/>
        </w:rPr>
        <w:t xml:space="preserve">аще всего </w:t>
      </w:r>
      <w:r w:rsidR="00D023F2" w:rsidRPr="009601C7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9601C7">
        <w:rPr>
          <w:rFonts w:ascii="Times New Roman" w:eastAsia="Calibri" w:hAnsi="Times New Roman" w:cs="Times New Roman"/>
          <w:sz w:val="28"/>
          <w:szCs w:val="28"/>
        </w:rPr>
        <w:t>касаются благоустройства, работы систем жизнеобеспечения и транспорта</w:t>
      </w:r>
      <w:r w:rsidR="009601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Pr="00960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502" w:rsidRPr="00861617" w:rsidRDefault="00D96608" w:rsidP="00D02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3F2">
        <w:rPr>
          <w:rFonts w:ascii="Times New Roman" w:eastAsia="Calibri" w:hAnsi="Times New Roman" w:cs="Times New Roman"/>
          <w:sz w:val="28"/>
          <w:szCs w:val="28"/>
        </w:rPr>
        <w:tab/>
      </w:r>
      <w:r w:rsidR="000B5502" w:rsidRPr="00861617">
        <w:rPr>
          <w:rFonts w:ascii="Times New Roman" w:eastAsia="Calibri" w:hAnsi="Times New Roman" w:cs="Times New Roman"/>
          <w:sz w:val="28"/>
          <w:szCs w:val="28"/>
        </w:rPr>
        <w:t>Проводимая администрацией муниципального образования город-курорт Анапа работа по решению вопросов местного значения и улучшению качества жизни анапчан, направлена на решение вопросов по максимальному сокращению количества обращений и жалоб граждан.</w:t>
      </w:r>
    </w:p>
    <w:p w:rsidR="000B5502" w:rsidRDefault="000B5502" w:rsidP="000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15" w:rsidRDefault="004E4715" w:rsidP="000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7A" w:rsidRPr="00544AFC" w:rsidRDefault="00880A7A" w:rsidP="0054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A7A" w:rsidRPr="00544AFC" w:rsidSect="008E7897">
      <w:headerReference w:type="default" r:id="rId12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AD" w:rsidRDefault="00DC67AD" w:rsidP="001865D8">
      <w:pPr>
        <w:spacing w:after="0" w:line="240" w:lineRule="auto"/>
      </w:pPr>
      <w:r>
        <w:separator/>
      </w:r>
    </w:p>
  </w:endnote>
  <w:endnote w:type="continuationSeparator" w:id="0">
    <w:p w:rsidR="00DC67AD" w:rsidRDefault="00DC67AD" w:rsidP="001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AD" w:rsidRDefault="00DC67AD" w:rsidP="001865D8">
      <w:pPr>
        <w:spacing w:after="0" w:line="240" w:lineRule="auto"/>
      </w:pPr>
      <w:r>
        <w:separator/>
      </w:r>
    </w:p>
  </w:footnote>
  <w:footnote w:type="continuationSeparator" w:id="0">
    <w:p w:rsidR="00DC67AD" w:rsidRDefault="00DC67AD" w:rsidP="0018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48393463"/>
      <w:docPartObj>
        <w:docPartGallery w:val="Page Numbers (Top of Page)"/>
        <w:docPartUnique/>
      </w:docPartObj>
    </w:sdtPr>
    <w:sdtEndPr/>
    <w:sdtContent>
      <w:p w:rsidR="00496329" w:rsidRPr="001552F8" w:rsidRDefault="004963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52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52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52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C9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552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329" w:rsidRDefault="004963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711"/>
    <w:multiLevelType w:val="hybridMultilevel"/>
    <w:tmpl w:val="BC4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22A"/>
    <w:multiLevelType w:val="hybridMultilevel"/>
    <w:tmpl w:val="528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0E6"/>
    <w:multiLevelType w:val="hybridMultilevel"/>
    <w:tmpl w:val="528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5"/>
    <w:rsid w:val="00000E29"/>
    <w:rsid w:val="000036A3"/>
    <w:rsid w:val="000047BC"/>
    <w:rsid w:val="00030A01"/>
    <w:rsid w:val="00036D4F"/>
    <w:rsid w:val="000428F4"/>
    <w:rsid w:val="00047763"/>
    <w:rsid w:val="00061FE0"/>
    <w:rsid w:val="00074E91"/>
    <w:rsid w:val="00074FD7"/>
    <w:rsid w:val="00077D59"/>
    <w:rsid w:val="000838E9"/>
    <w:rsid w:val="00086BAA"/>
    <w:rsid w:val="00092A4B"/>
    <w:rsid w:val="000A01C8"/>
    <w:rsid w:val="000B5502"/>
    <w:rsid w:val="000C3386"/>
    <w:rsid w:val="000C5298"/>
    <w:rsid w:val="000D317C"/>
    <w:rsid w:val="000E13A2"/>
    <w:rsid w:val="000F3072"/>
    <w:rsid w:val="001176EE"/>
    <w:rsid w:val="00130CCB"/>
    <w:rsid w:val="00150BA2"/>
    <w:rsid w:val="00154C91"/>
    <w:rsid w:val="001552F8"/>
    <w:rsid w:val="001605C2"/>
    <w:rsid w:val="00165BD4"/>
    <w:rsid w:val="00165D6F"/>
    <w:rsid w:val="001666DB"/>
    <w:rsid w:val="00172CB6"/>
    <w:rsid w:val="001865D8"/>
    <w:rsid w:val="00186EEC"/>
    <w:rsid w:val="00190C55"/>
    <w:rsid w:val="001916C4"/>
    <w:rsid w:val="001931A6"/>
    <w:rsid w:val="00193609"/>
    <w:rsid w:val="00197136"/>
    <w:rsid w:val="001A4766"/>
    <w:rsid w:val="001A6403"/>
    <w:rsid w:val="001B44A2"/>
    <w:rsid w:val="001C12D9"/>
    <w:rsid w:val="001D027D"/>
    <w:rsid w:val="001D234A"/>
    <w:rsid w:val="001F3137"/>
    <w:rsid w:val="001F7356"/>
    <w:rsid w:val="0021371D"/>
    <w:rsid w:val="0021597D"/>
    <w:rsid w:val="00216700"/>
    <w:rsid w:val="00236ED2"/>
    <w:rsid w:val="0024355B"/>
    <w:rsid w:val="00254E18"/>
    <w:rsid w:val="0026773C"/>
    <w:rsid w:val="00273791"/>
    <w:rsid w:val="00275EA1"/>
    <w:rsid w:val="00280A14"/>
    <w:rsid w:val="0028751E"/>
    <w:rsid w:val="00292867"/>
    <w:rsid w:val="002940C4"/>
    <w:rsid w:val="002A7262"/>
    <w:rsid w:val="002B4048"/>
    <w:rsid w:val="002C1051"/>
    <w:rsid w:val="002C4BD0"/>
    <w:rsid w:val="002E18C8"/>
    <w:rsid w:val="0031013E"/>
    <w:rsid w:val="003444BB"/>
    <w:rsid w:val="003444EF"/>
    <w:rsid w:val="00345474"/>
    <w:rsid w:val="00353C1B"/>
    <w:rsid w:val="003603CA"/>
    <w:rsid w:val="003730D5"/>
    <w:rsid w:val="00382D10"/>
    <w:rsid w:val="0039543C"/>
    <w:rsid w:val="003A058F"/>
    <w:rsid w:val="003A17D6"/>
    <w:rsid w:val="003A43A2"/>
    <w:rsid w:val="003A51FD"/>
    <w:rsid w:val="003B06AE"/>
    <w:rsid w:val="003B4308"/>
    <w:rsid w:val="003C0AFE"/>
    <w:rsid w:val="003C7780"/>
    <w:rsid w:val="003D2D4F"/>
    <w:rsid w:val="003D325A"/>
    <w:rsid w:val="003F2B6C"/>
    <w:rsid w:val="00435256"/>
    <w:rsid w:val="0044343B"/>
    <w:rsid w:val="00447690"/>
    <w:rsid w:val="0048721C"/>
    <w:rsid w:val="00496329"/>
    <w:rsid w:val="004965DE"/>
    <w:rsid w:val="004A30AC"/>
    <w:rsid w:val="004A7DBE"/>
    <w:rsid w:val="004B6AA5"/>
    <w:rsid w:val="004B7095"/>
    <w:rsid w:val="004D143B"/>
    <w:rsid w:val="004D2DD2"/>
    <w:rsid w:val="004D35A8"/>
    <w:rsid w:val="004E0A19"/>
    <w:rsid w:val="004E295C"/>
    <w:rsid w:val="004E4715"/>
    <w:rsid w:val="004E7D57"/>
    <w:rsid w:val="004F7978"/>
    <w:rsid w:val="00501012"/>
    <w:rsid w:val="00503C20"/>
    <w:rsid w:val="005166C1"/>
    <w:rsid w:val="00523E4F"/>
    <w:rsid w:val="00524BCB"/>
    <w:rsid w:val="005308F1"/>
    <w:rsid w:val="00544AFC"/>
    <w:rsid w:val="00546577"/>
    <w:rsid w:val="005549E1"/>
    <w:rsid w:val="00565DB0"/>
    <w:rsid w:val="00583EC5"/>
    <w:rsid w:val="00585CD8"/>
    <w:rsid w:val="00591C85"/>
    <w:rsid w:val="005936C9"/>
    <w:rsid w:val="005A6C60"/>
    <w:rsid w:val="005C2238"/>
    <w:rsid w:val="005E0210"/>
    <w:rsid w:val="005E17B6"/>
    <w:rsid w:val="005E521B"/>
    <w:rsid w:val="00604A47"/>
    <w:rsid w:val="006069A5"/>
    <w:rsid w:val="00634504"/>
    <w:rsid w:val="006601DA"/>
    <w:rsid w:val="00663F95"/>
    <w:rsid w:val="00673CB7"/>
    <w:rsid w:val="00676CEB"/>
    <w:rsid w:val="00693654"/>
    <w:rsid w:val="00693A6D"/>
    <w:rsid w:val="006A2233"/>
    <w:rsid w:val="006B51A3"/>
    <w:rsid w:val="006D0475"/>
    <w:rsid w:val="006F516E"/>
    <w:rsid w:val="00701AB4"/>
    <w:rsid w:val="00705F73"/>
    <w:rsid w:val="00706282"/>
    <w:rsid w:val="007151CB"/>
    <w:rsid w:val="00716333"/>
    <w:rsid w:val="00726638"/>
    <w:rsid w:val="00731F78"/>
    <w:rsid w:val="00770C6A"/>
    <w:rsid w:val="00774A9E"/>
    <w:rsid w:val="007942A4"/>
    <w:rsid w:val="00796020"/>
    <w:rsid w:val="007B7D04"/>
    <w:rsid w:val="007C2CA6"/>
    <w:rsid w:val="007C663E"/>
    <w:rsid w:val="007C796E"/>
    <w:rsid w:val="007D35B1"/>
    <w:rsid w:val="007D56E1"/>
    <w:rsid w:val="007D6D14"/>
    <w:rsid w:val="007E0BE1"/>
    <w:rsid w:val="007E0F3A"/>
    <w:rsid w:val="007F1E23"/>
    <w:rsid w:val="007F3180"/>
    <w:rsid w:val="00802398"/>
    <w:rsid w:val="0080405F"/>
    <w:rsid w:val="00826DD2"/>
    <w:rsid w:val="008324CD"/>
    <w:rsid w:val="00833686"/>
    <w:rsid w:val="00834F78"/>
    <w:rsid w:val="008359D2"/>
    <w:rsid w:val="0083625F"/>
    <w:rsid w:val="00837821"/>
    <w:rsid w:val="008413FB"/>
    <w:rsid w:val="00847A87"/>
    <w:rsid w:val="00880A7A"/>
    <w:rsid w:val="008D563B"/>
    <w:rsid w:val="008E5401"/>
    <w:rsid w:val="008E7897"/>
    <w:rsid w:val="008F49A1"/>
    <w:rsid w:val="008F6558"/>
    <w:rsid w:val="00900829"/>
    <w:rsid w:val="00911B56"/>
    <w:rsid w:val="00923A70"/>
    <w:rsid w:val="00924198"/>
    <w:rsid w:val="00924B3C"/>
    <w:rsid w:val="00931B41"/>
    <w:rsid w:val="009530E5"/>
    <w:rsid w:val="009544CB"/>
    <w:rsid w:val="009601C7"/>
    <w:rsid w:val="00960CE6"/>
    <w:rsid w:val="00970F85"/>
    <w:rsid w:val="00973B6B"/>
    <w:rsid w:val="00974275"/>
    <w:rsid w:val="00976C22"/>
    <w:rsid w:val="009807EA"/>
    <w:rsid w:val="00985157"/>
    <w:rsid w:val="00991C01"/>
    <w:rsid w:val="00993654"/>
    <w:rsid w:val="00997FB3"/>
    <w:rsid w:val="009A26B8"/>
    <w:rsid w:val="009A3E93"/>
    <w:rsid w:val="009A6936"/>
    <w:rsid w:val="009A73A1"/>
    <w:rsid w:val="009B15F2"/>
    <w:rsid w:val="009B75C1"/>
    <w:rsid w:val="009E239A"/>
    <w:rsid w:val="00A12916"/>
    <w:rsid w:val="00A171EA"/>
    <w:rsid w:val="00A3187A"/>
    <w:rsid w:val="00A35D9F"/>
    <w:rsid w:val="00A4154F"/>
    <w:rsid w:val="00A43EAB"/>
    <w:rsid w:val="00A50096"/>
    <w:rsid w:val="00A70196"/>
    <w:rsid w:val="00A80C44"/>
    <w:rsid w:val="00A817D9"/>
    <w:rsid w:val="00A948A0"/>
    <w:rsid w:val="00AB0FFB"/>
    <w:rsid w:val="00AB5FE7"/>
    <w:rsid w:val="00AD176A"/>
    <w:rsid w:val="00AE1490"/>
    <w:rsid w:val="00AE42C7"/>
    <w:rsid w:val="00AF3D77"/>
    <w:rsid w:val="00B00926"/>
    <w:rsid w:val="00B01259"/>
    <w:rsid w:val="00B0160E"/>
    <w:rsid w:val="00B056E8"/>
    <w:rsid w:val="00B11C5A"/>
    <w:rsid w:val="00B376A0"/>
    <w:rsid w:val="00B40CF8"/>
    <w:rsid w:val="00B55CA6"/>
    <w:rsid w:val="00B56B21"/>
    <w:rsid w:val="00B6327F"/>
    <w:rsid w:val="00B83CB9"/>
    <w:rsid w:val="00B948D5"/>
    <w:rsid w:val="00BA51DC"/>
    <w:rsid w:val="00BB09EF"/>
    <w:rsid w:val="00BB1CE4"/>
    <w:rsid w:val="00BB4D4E"/>
    <w:rsid w:val="00BC41DE"/>
    <w:rsid w:val="00BC730A"/>
    <w:rsid w:val="00BD3240"/>
    <w:rsid w:val="00BD5F60"/>
    <w:rsid w:val="00BE2D66"/>
    <w:rsid w:val="00BF41E0"/>
    <w:rsid w:val="00C06A2E"/>
    <w:rsid w:val="00C15106"/>
    <w:rsid w:val="00C15905"/>
    <w:rsid w:val="00C24853"/>
    <w:rsid w:val="00C30168"/>
    <w:rsid w:val="00C418D8"/>
    <w:rsid w:val="00C61ED9"/>
    <w:rsid w:val="00C62E4D"/>
    <w:rsid w:val="00C735AF"/>
    <w:rsid w:val="00C77FBE"/>
    <w:rsid w:val="00C82998"/>
    <w:rsid w:val="00C872D9"/>
    <w:rsid w:val="00C9556E"/>
    <w:rsid w:val="00C97249"/>
    <w:rsid w:val="00CA2A10"/>
    <w:rsid w:val="00CA2FEF"/>
    <w:rsid w:val="00CA6266"/>
    <w:rsid w:val="00CB2869"/>
    <w:rsid w:val="00CB662E"/>
    <w:rsid w:val="00CC4F60"/>
    <w:rsid w:val="00CC6930"/>
    <w:rsid w:val="00CC7D52"/>
    <w:rsid w:val="00CD5FF2"/>
    <w:rsid w:val="00CE239F"/>
    <w:rsid w:val="00CE68C1"/>
    <w:rsid w:val="00D01995"/>
    <w:rsid w:val="00D023F2"/>
    <w:rsid w:val="00D114B5"/>
    <w:rsid w:val="00D15207"/>
    <w:rsid w:val="00D24308"/>
    <w:rsid w:val="00D346BB"/>
    <w:rsid w:val="00D64AB6"/>
    <w:rsid w:val="00D6648E"/>
    <w:rsid w:val="00D7671E"/>
    <w:rsid w:val="00D77049"/>
    <w:rsid w:val="00D84B68"/>
    <w:rsid w:val="00D87889"/>
    <w:rsid w:val="00D936AC"/>
    <w:rsid w:val="00D93FB6"/>
    <w:rsid w:val="00D96608"/>
    <w:rsid w:val="00DA5D57"/>
    <w:rsid w:val="00DB0A16"/>
    <w:rsid w:val="00DB5F54"/>
    <w:rsid w:val="00DB70A8"/>
    <w:rsid w:val="00DC0E9B"/>
    <w:rsid w:val="00DC37F5"/>
    <w:rsid w:val="00DC67AD"/>
    <w:rsid w:val="00DE4D98"/>
    <w:rsid w:val="00DE6B1A"/>
    <w:rsid w:val="00E021F4"/>
    <w:rsid w:val="00E02BC0"/>
    <w:rsid w:val="00E03E09"/>
    <w:rsid w:val="00E055C8"/>
    <w:rsid w:val="00E1161C"/>
    <w:rsid w:val="00E26FE9"/>
    <w:rsid w:val="00E3206D"/>
    <w:rsid w:val="00E35270"/>
    <w:rsid w:val="00E445D9"/>
    <w:rsid w:val="00E52875"/>
    <w:rsid w:val="00E53DED"/>
    <w:rsid w:val="00E54F95"/>
    <w:rsid w:val="00E91F27"/>
    <w:rsid w:val="00EB7B54"/>
    <w:rsid w:val="00EC49BC"/>
    <w:rsid w:val="00EC613B"/>
    <w:rsid w:val="00EE1FEE"/>
    <w:rsid w:val="00EE6548"/>
    <w:rsid w:val="00EF579F"/>
    <w:rsid w:val="00F01587"/>
    <w:rsid w:val="00F02377"/>
    <w:rsid w:val="00F02BDE"/>
    <w:rsid w:val="00F10ADB"/>
    <w:rsid w:val="00F17269"/>
    <w:rsid w:val="00F21765"/>
    <w:rsid w:val="00F4050C"/>
    <w:rsid w:val="00F45A60"/>
    <w:rsid w:val="00F57D1A"/>
    <w:rsid w:val="00F63DE1"/>
    <w:rsid w:val="00F63EB9"/>
    <w:rsid w:val="00F666C4"/>
    <w:rsid w:val="00F6673E"/>
    <w:rsid w:val="00F678A6"/>
    <w:rsid w:val="00F8156F"/>
    <w:rsid w:val="00F867D9"/>
    <w:rsid w:val="00F87569"/>
    <w:rsid w:val="00FB274D"/>
    <w:rsid w:val="00FB776A"/>
    <w:rsid w:val="00FD4F28"/>
    <w:rsid w:val="00FD6775"/>
    <w:rsid w:val="00FE1AA4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3DE"/>
  <w15:docId w15:val="{A4AE0071-6DCA-407A-B96B-E5298D25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217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3">
    <w:name w:val="Table Grid"/>
    <w:basedOn w:val="a1"/>
    <w:uiPriority w:val="39"/>
    <w:rsid w:val="009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838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D664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2E4D"/>
    <w:pPr>
      <w:ind w:left="720"/>
      <w:contextualSpacing/>
    </w:pPr>
  </w:style>
  <w:style w:type="paragraph" w:styleId="a7">
    <w:name w:val="No Spacing"/>
    <w:uiPriority w:val="1"/>
    <w:qFormat/>
    <w:rsid w:val="00DA5D5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5D8"/>
  </w:style>
  <w:style w:type="paragraph" w:styleId="aa">
    <w:name w:val="footer"/>
    <w:basedOn w:val="a"/>
    <w:link w:val="ab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5D8"/>
  </w:style>
  <w:style w:type="paragraph" w:styleId="ac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ДИНАМИКА ПОСТУПЛЕНИЯ ОБРАЩЕНИЙ</a:t>
            </a:r>
          </a:p>
          <a:p>
            <a:pPr>
              <a:defRPr/>
            </a:pPr>
            <a:r>
              <a:rPr lang="ru-RU" sz="1100"/>
              <a:t>за 1 полугодие 2023 года в сравнении с аналогичным периодом 2022 года</a:t>
            </a:r>
          </a:p>
        </c:rich>
      </c:tx>
      <c:layout>
        <c:manualLayout>
          <c:xMode val="edge"/>
          <c:yMode val="edge"/>
          <c:x val="0.15611699620064645"/>
          <c:y val="2.44051250762660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487141047103402"/>
          <c:y val="0.16030134235348431"/>
          <c:w val="0.57302343798216948"/>
          <c:h val="0.736031682194221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ЛИЧНЫЙ ПРИЕМ</c:v>
                </c:pt>
                <c:pt idx="1">
                  <c:v>ТЕЛЕФОН "горячая линия"</c:v>
                </c:pt>
                <c:pt idx="2">
                  <c:v>Многоканальный телефон администрации Краснодарского края</c:v>
                </c:pt>
                <c:pt idx="3">
                  <c:v>Управление Президента Российской Федерации по работе с обращениями граждан и организаций</c:v>
                </c:pt>
                <c:pt idx="4">
                  <c:v>Администрация Краснодарского края</c:v>
                </c:pt>
                <c:pt idx="5">
                  <c:v>ПИСМЕННЫЕ ОБРАЩЕНИЯ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444</c:v>
                </c:pt>
                <c:pt idx="1">
                  <c:v>232</c:v>
                </c:pt>
                <c:pt idx="2">
                  <c:v>414</c:v>
                </c:pt>
                <c:pt idx="3">
                  <c:v>578</c:v>
                </c:pt>
                <c:pt idx="4">
                  <c:v>1299</c:v>
                </c:pt>
                <c:pt idx="5">
                  <c:v>4440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7-4558-B70D-3A6205771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1668816442686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27-4558-B70D-3A6205771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ЛИЧНЫЙ ПРИЕМ</c:v>
                </c:pt>
                <c:pt idx="1">
                  <c:v>ТЕЛЕФОН "горячая линия"</c:v>
                </c:pt>
                <c:pt idx="2">
                  <c:v>Многоканальный телефон администрации Краснодарского края</c:v>
                </c:pt>
                <c:pt idx="3">
                  <c:v>Управление Президента Российской Федерации по работе с обращениями граждан и организаций</c:v>
                </c:pt>
                <c:pt idx="4">
                  <c:v>Администрация Краснодарского края</c:v>
                </c:pt>
                <c:pt idx="5">
                  <c:v>ПИСМЕННЫЕ ОБРАЩЕНИЯ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548</c:v>
                </c:pt>
                <c:pt idx="1">
                  <c:v>184</c:v>
                </c:pt>
                <c:pt idx="2">
                  <c:v>341</c:v>
                </c:pt>
                <c:pt idx="3">
                  <c:v>530</c:v>
                </c:pt>
                <c:pt idx="4">
                  <c:v>751</c:v>
                </c:pt>
                <c:pt idx="5">
                  <c:v>3742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27-4558-B70D-3A6205771C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772160"/>
        <c:axId val="63773696"/>
      </c:barChart>
      <c:catAx>
        <c:axId val="6377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73696"/>
        <c:crosses val="autoZero"/>
        <c:auto val="1"/>
        <c:lblAlgn val="ctr"/>
        <c:lblOffset val="100"/>
        <c:noMultiLvlLbl val="0"/>
      </c:catAx>
      <c:valAx>
        <c:axId val="63773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72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914505364169899E-2"/>
          <c:y val="0.94272194011136057"/>
          <c:w val="0.14705169333641754"/>
          <c:h val="5.5224522686245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ОСНОВНЫЕ ТЕМЫ ОБРАЩЕНИЙ</a:t>
            </a:r>
          </a:p>
          <a:p>
            <a:pPr>
              <a:defRPr/>
            </a:pPr>
            <a:r>
              <a:rPr lang="ru-RU" sz="1200"/>
              <a:t>за 1 полугодие 2023 года в сравнении с аналогичным периодом</a:t>
            </a:r>
            <a:r>
              <a:rPr lang="ru-RU" sz="1200" baseline="0"/>
              <a:t> </a:t>
            </a:r>
            <a:r>
              <a:rPr lang="ru-RU" sz="1200"/>
              <a:t> 2022 года</a:t>
            </a:r>
            <a:endParaRPr lang="en-US" sz="1200"/>
          </a:p>
        </c:rich>
      </c:tx>
      <c:layout>
        <c:manualLayout>
          <c:xMode val="edge"/>
          <c:yMode val="edge"/>
          <c:x val="0.11359503753891227"/>
          <c:y val="1.55945419103313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Лист1!$A$20:$A$20</c:f>
              <c:numCache>
                <c:formatCode>General</c:formatCode>
                <c:ptCount val="1"/>
              </c:numCache>
            </c:numRef>
          </c:cat>
          <c:val>
            <c:numRef>
              <c:f>Лист1!$B$20:$B$20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691F-41AB-9610-DBF36AD4FDC8}"/>
            </c:ext>
          </c:extLst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Лист1!$A$20:$A$20</c:f>
              <c:numCache>
                <c:formatCode>General</c:formatCode>
                <c:ptCount val="1"/>
              </c:numCache>
            </c:numRef>
          </c:cat>
          <c:val>
            <c:numRef>
              <c:f>Лист1!$C$20:$C$20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691F-41AB-9610-DBF36AD4FDC8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Законность и охрана правопорядка</c:v>
                </c:pt>
                <c:pt idx="1">
                  <c:v>Прочие</c:v>
                </c:pt>
                <c:pt idx="2">
                  <c:v>Транспорт </c:v>
                </c:pt>
                <c:pt idx="3">
                  <c:v>Земельно-имущественные отношения</c:v>
                </c:pt>
                <c:pt idx="4">
                  <c:v>Социальное обеспечение и образование</c:v>
                </c:pt>
                <c:pt idx="5">
                  <c:v>Экономика, малый и средний бизнес</c:v>
                </c:pt>
                <c:pt idx="6">
                  <c:v>Архитектура и градостроительство</c:v>
                </c:pt>
                <c:pt idx="7">
                  <c:v>ЖКХ</c:v>
                </c:pt>
              </c:strCache>
            </c:strRef>
          </c:cat>
          <c:val>
            <c:numRef>
              <c:f>Лист1!$B$3:$B$10</c:f>
              <c:numCache>
                <c:formatCode>0.0%</c:formatCode>
                <c:ptCount val="8"/>
                <c:pt idx="0">
                  <c:v>0.01</c:v>
                </c:pt>
                <c:pt idx="1">
                  <c:v>1.9E-2</c:v>
                </c:pt>
                <c:pt idx="2">
                  <c:v>0.06</c:v>
                </c:pt>
                <c:pt idx="3">
                  <c:v>0.05</c:v>
                </c:pt>
                <c:pt idx="4">
                  <c:v>8.2000000000000003E-2</c:v>
                </c:pt>
                <c:pt idx="5">
                  <c:v>6.9000000000000006E-2</c:v>
                </c:pt>
                <c:pt idx="6">
                  <c:v>0.1</c:v>
                </c:pt>
                <c:pt idx="7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1F-41AB-9610-DBF36AD4F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91F-41AB-9610-DBF36AD4FD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Лист1!$A$3:$A$10</c:f>
              <c:strCache>
                <c:ptCount val="8"/>
                <c:pt idx="0">
                  <c:v>Законность и охрана правопорядка</c:v>
                </c:pt>
                <c:pt idx="1">
                  <c:v>Прочие</c:v>
                </c:pt>
                <c:pt idx="2">
                  <c:v>Транспорт </c:v>
                </c:pt>
                <c:pt idx="3">
                  <c:v>Земельно-имущественные отношения</c:v>
                </c:pt>
                <c:pt idx="4">
                  <c:v>Социальное обеспечение и образование</c:v>
                </c:pt>
                <c:pt idx="5">
                  <c:v>Экономика, малый и средний бизнес</c:v>
                </c:pt>
                <c:pt idx="6">
                  <c:v>Архитектура и градостроительство</c:v>
                </c:pt>
                <c:pt idx="7">
                  <c:v>ЖКХ</c:v>
                </c:pt>
              </c:strCache>
            </c:strRef>
          </c:cat>
          <c:val>
            <c:numRef>
              <c:f>Лист1!$C$3:$C$10</c:f>
              <c:numCache>
                <c:formatCode>0.0%</c:formatCode>
                <c:ptCount val="8"/>
                <c:pt idx="0">
                  <c:v>1.9E-2</c:v>
                </c:pt>
                <c:pt idx="1">
                  <c:v>0.02</c:v>
                </c:pt>
                <c:pt idx="2">
                  <c:v>4.7E-2</c:v>
                </c:pt>
                <c:pt idx="3">
                  <c:v>8.7999999999999995E-2</c:v>
                </c:pt>
                <c:pt idx="4">
                  <c:v>0.126</c:v>
                </c:pt>
                <c:pt idx="5">
                  <c:v>0.129</c:v>
                </c:pt>
                <c:pt idx="6">
                  <c:v>0.154</c:v>
                </c:pt>
                <c:pt idx="7">
                  <c:v>0.41699999999999998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1F-41AB-9610-DBF36AD4FD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879040"/>
        <c:axId val="63880576"/>
      </c:barChart>
      <c:catAx>
        <c:axId val="6387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0576"/>
        <c:crosses val="autoZero"/>
        <c:auto val="1"/>
        <c:lblAlgn val="ctr"/>
        <c:lblOffset val="100"/>
        <c:noMultiLvlLbl val="0"/>
      </c:catAx>
      <c:valAx>
        <c:axId val="638805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8790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2525799331901692"/>
          <c:y val="0.92629833243193482"/>
          <c:w val="0.15790135608048994"/>
          <c:h val="5.3192861849762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Распределение поступления обращений граждан по сельским округам   </a:t>
            </a:r>
          </a:p>
        </c:rich>
      </c:tx>
      <c:layout>
        <c:manualLayout>
          <c:xMode val="edge"/>
          <c:yMode val="edge"/>
          <c:x val="0.21696743366480228"/>
          <c:y val="2.16497523982822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Благовещенский</c:v>
                </c:pt>
                <c:pt idx="1">
                  <c:v>Джигинский</c:v>
                </c:pt>
                <c:pt idx="2">
                  <c:v>Гайкодзорский</c:v>
                </c:pt>
                <c:pt idx="3">
                  <c:v>Виноградный</c:v>
                </c:pt>
                <c:pt idx="4">
                  <c:v>Первомайский</c:v>
                </c:pt>
                <c:pt idx="5">
                  <c:v>Витязевский</c:v>
                </c:pt>
                <c:pt idx="6">
                  <c:v>Гостагаевский</c:v>
                </c:pt>
                <c:pt idx="7">
                  <c:v>Анапский</c:v>
                </c:pt>
                <c:pt idx="8">
                  <c:v>Приморский</c:v>
                </c:pt>
                <c:pt idx="9">
                  <c:v>Супсехский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45</c:v>
                </c:pt>
                <c:pt idx="1">
                  <c:v>33</c:v>
                </c:pt>
                <c:pt idx="2">
                  <c:v>36</c:v>
                </c:pt>
                <c:pt idx="3">
                  <c:v>39</c:v>
                </c:pt>
                <c:pt idx="4">
                  <c:v>55</c:v>
                </c:pt>
                <c:pt idx="5">
                  <c:v>135</c:v>
                </c:pt>
                <c:pt idx="6">
                  <c:v>151</c:v>
                </c:pt>
                <c:pt idx="7">
                  <c:v>339</c:v>
                </c:pt>
                <c:pt idx="8">
                  <c:v>309</c:v>
                </c:pt>
                <c:pt idx="9">
                  <c:v>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7-4906-B6DF-8E40F3D8F9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Благовещенский</c:v>
                </c:pt>
                <c:pt idx="1">
                  <c:v>Джигинский</c:v>
                </c:pt>
                <c:pt idx="2">
                  <c:v>Гайкодзорский</c:v>
                </c:pt>
                <c:pt idx="3">
                  <c:v>Виноградный</c:v>
                </c:pt>
                <c:pt idx="4">
                  <c:v>Первомайский</c:v>
                </c:pt>
                <c:pt idx="5">
                  <c:v>Витязевский</c:v>
                </c:pt>
                <c:pt idx="6">
                  <c:v>Гостагаевский</c:v>
                </c:pt>
                <c:pt idx="7">
                  <c:v>Анапский</c:v>
                </c:pt>
                <c:pt idx="8">
                  <c:v>Приморский</c:v>
                </c:pt>
                <c:pt idx="9">
                  <c:v>Супсехский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</c:v>
                </c:pt>
                <c:pt idx="1">
                  <c:v>24</c:v>
                </c:pt>
                <c:pt idx="2">
                  <c:v>30</c:v>
                </c:pt>
                <c:pt idx="3">
                  <c:v>32</c:v>
                </c:pt>
                <c:pt idx="4">
                  <c:v>73</c:v>
                </c:pt>
                <c:pt idx="5">
                  <c:v>110</c:v>
                </c:pt>
                <c:pt idx="6">
                  <c:v>155</c:v>
                </c:pt>
                <c:pt idx="7">
                  <c:v>243</c:v>
                </c:pt>
                <c:pt idx="8">
                  <c:v>277</c:v>
                </c:pt>
                <c:pt idx="9">
                  <c:v>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7-4906-B6DF-8E40F3D8F9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7598976"/>
        <c:axId val="67608960"/>
      </c:barChart>
      <c:catAx>
        <c:axId val="6759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608960"/>
        <c:crosses val="autoZero"/>
        <c:auto val="1"/>
        <c:lblAlgn val="ctr"/>
        <c:lblOffset val="100"/>
        <c:noMultiLvlLbl val="0"/>
      </c:catAx>
      <c:valAx>
        <c:axId val="6760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989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Обращения граждан, поступившие на личных </a:t>
            </a:r>
          </a:p>
          <a:p>
            <a:pPr>
              <a:defRPr/>
            </a:pPr>
            <a:r>
              <a:rPr lang="ru-RU" sz="1600"/>
              <a:t>и выездных приемах главы муниципального образования город-курорт Анапа, заместителей главы муниципального образования </a:t>
            </a:r>
          </a:p>
          <a:p>
            <a:pPr>
              <a:defRPr/>
            </a:pPr>
            <a:r>
              <a:rPr lang="ru-RU" sz="1600"/>
              <a:t>город-курорт Анапа</a:t>
            </a:r>
          </a:p>
        </c:rich>
      </c:tx>
      <c:layout>
        <c:manualLayout>
          <c:xMode val="edge"/>
          <c:yMode val="edge"/>
          <c:x val="0.15609680407596108"/>
          <c:y val="1.06362365344109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ln>
                <a:noFill/>
              </a:ln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19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70356646595646"/>
          <c:y val="9.9583743438320216E-2"/>
          <c:w val="0.59231017446348622"/>
          <c:h val="0.68408751640419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граждан, поступившие на личном и выездном приемах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E-4DBE-A956-D2E19AF890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4EE-4DBE-A956-D2E19AF890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4EE-4DBE-A956-D2E19AF890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4EE-4DBE-A956-D2E19AF890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4EE-4DBE-A956-D2E19AF890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4EE-4DBE-A956-D2E19AF8909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E4EE-4DBE-A956-D2E19AF8909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E4EE-4DBE-A956-D2E19AF8909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E4EE-4DBE-A956-D2E19AF8909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E4EE-4DBE-A956-D2E19AF8909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5-E4EE-4DBE-A956-D2E19AF8909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7-E4EE-4DBE-A956-D2E19AF890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Жилищно-коммунальное хозяйство 40 %                                                                                                                                                                                                                            </c:v>
                </c:pt>
                <c:pt idx="1">
                  <c:v>Архитектура, градостроительная деятельность и капитальное строительство 16 %                                                                 </c:v>
                </c:pt>
                <c:pt idx="2">
                  <c:v>Правовая защита 9 %</c:v>
                </c:pt>
                <c:pt idx="3">
                  <c:v>Имущественные отношения и жилищная политика 8 %</c:v>
                </c:pt>
                <c:pt idx="4">
                  <c:v>Социальная политика 6 % </c:v>
                </c:pt>
                <c:pt idx="5">
                  <c:v>Потребительская сфера, агропромышленный и санаторно-курортный комплекс 5 %</c:v>
                </c:pt>
                <c:pt idx="6">
                  <c:v>Осуществление муниципального контроля 4 %</c:v>
                </c:pt>
                <c:pt idx="7">
                  <c:v>Транспортное обслуживание 4 %</c:v>
                </c:pt>
                <c:pt idx="8">
                  <c:v>Информатизация и связь 3 %</c:v>
                </c:pt>
                <c:pt idx="9">
                  <c:v>Взаимодействие с военнослужащими 3 %</c:v>
                </c:pt>
                <c:pt idx="10">
                  <c:v>Инвестиционная деятельность и перспективное развитие 1 %</c:v>
                </c:pt>
                <c:pt idx="11">
                  <c:v>Внутренняя политика администрации муниципального образования город-курорт Анапа 1 % 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0.4</c:v>
                </c:pt>
                <c:pt idx="1">
                  <c:v>0.16</c:v>
                </c:pt>
                <c:pt idx="2">
                  <c:v>0.09</c:v>
                </c:pt>
                <c:pt idx="3">
                  <c:v>0.08</c:v>
                </c:pt>
                <c:pt idx="4">
                  <c:v>0.06</c:v>
                </c:pt>
                <c:pt idx="5">
                  <c:v>0.05</c:v>
                </c:pt>
                <c:pt idx="6">
                  <c:v>0.04</c:v>
                </c:pt>
                <c:pt idx="7">
                  <c:v>0.04</c:v>
                </c:pt>
                <c:pt idx="8">
                  <c:v>0.03</c:v>
                </c:pt>
                <c:pt idx="9">
                  <c:v>0.03</c:v>
                </c:pt>
                <c:pt idx="10">
                  <c:v>0.01</c:v>
                </c:pt>
                <c:pt idx="1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4EE-4DBE-A956-D2E19AF890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70588235294115E-2"/>
          <c:y val="0.63988353018372701"/>
          <c:w val="0.8970588235294118"/>
          <c:h val="0.3489899114173228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0.23421</cdr:x>
      <cdr:y>0.17304</cdr:y>
    </cdr:from>
    <cdr:to>
      <cdr:x>0.2681</cdr:x>
      <cdr:y>0.20632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47800" y="990600"/>
          <a:ext cx="2095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8F21-3272-47B6-8580-F2F0D67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Ружечко</dc:creator>
  <cp:lastModifiedBy>Люй-ко Валерия Валерьевна</cp:lastModifiedBy>
  <cp:revision>41</cp:revision>
  <cp:lastPrinted>2022-07-01T15:20:00Z</cp:lastPrinted>
  <dcterms:created xsi:type="dcterms:W3CDTF">2023-07-07T13:34:00Z</dcterms:created>
  <dcterms:modified xsi:type="dcterms:W3CDTF">2023-07-24T09:13:00Z</dcterms:modified>
</cp:coreProperties>
</file>