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C57F8C" w:rsidRDefault="00907FD5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bookmarkStart w:id="0" w:name="_GoBack"/>
      <w:r w:rsidRPr="00907FD5">
        <w:rPr>
          <w:sz w:val="26"/>
          <w:szCs w:val="26"/>
        </w:rPr>
        <w:t>26 сентября 2019 года                                                                                                               № 3/</w:t>
      </w:r>
      <w:r>
        <w:rPr>
          <w:sz w:val="26"/>
          <w:szCs w:val="26"/>
        </w:rPr>
        <w:t>2</w:t>
      </w:r>
    </w:p>
    <w:bookmarkEnd w:id="0"/>
    <w:p w:rsidR="00907FD5" w:rsidRPr="00D11225" w:rsidRDefault="00907FD5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907FD5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907FD5">
        <w:rPr>
          <w:kern w:val="1"/>
          <w:sz w:val="26"/>
          <w:szCs w:val="26"/>
        </w:rPr>
        <w:t>О реализации Закона Краснодарского края  от 7 августа 2000 года № 310-КЗ «О социальном па</w:t>
      </w:r>
      <w:r>
        <w:rPr>
          <w:kern w:val="1"/>
          <w:sz w:val="26"/>
          <w:szCs w:val="26"/>
        </w:rPr>
        <w:t>ртнерстве в Краснодарском крае»</w:t>
      </w:r>
    </w:p>
    <w:p w:rsidR="006D34F1" w:rsidRPr="00D11225" w:rsidRDefault="006D34F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Социальное партнерство – это такая система отношений между работодателями и работниками, при которых обеспечивается согласование их важнейших социально-трудовых интересов. Основу социального партнерства составляет не только разделение ответственности между представителями трудящихся, работодателей и правительством за результаты принимаемых и реализуемых решений, но и механизм ослабления монополии государственных органов власти на управление экономикой, их опеки над всеми слоями общества. В этой связи социальное партнерство является чрезвычайно важным и необходимым компонентом становления экономики. Основная цель социального партнерства — содействие решению актуальных социальных и экономических проблем, укреплению демократии, сохранению социальной стабильности, достижению согласия между всеми участниками партнерства.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Одной из форм социального партнерства, закрепленной в статье 53 Трудового кодекса Российской Федерации является коллективный договор.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07FD5">
        <w:rPr>
          <w:rFonts w:eastAsia="Calibri"/>
          <w:sz w:val="26"/>
          <w:szCs w:val="26"/>
          <w:lang w:eastAsia="en-US"/>
        </w:rPr>
        <w:t>На сегодняшний день на территории муниципального образования город-курорт Анапа действует 496 коллективных договоров с охватом работающего населения 26 713 человек, что составляет 56,4% от общего количества работающих в муниципальном образовании город-курорт Анапа, 4 отраслевых соглашения, заключенные между территориальными отраслевыми профсоюзами и соответствующими управлениями администрации: образование, торговля и потребительский рынок, здравоохранение, культура, а также территориальное трехстороннее соглашение между администрацией муниципального образования</w:t>
      </w:r>
      <w:proofErr w:type="gramEnd"/>
      <w:r w:rsidRPr="00907FD5">
        <w:rPr>
          <w:rFonts w:eastAsia="Calibri"/>
          <w:sz w:val="26"/>
          <w:szCs w:val="26"/>
          <w:lang w:eastAsia="en-US"/>
        </w:rPr>
        <w:t xml:space="preserve"> город-курорт Анапа, городским объединением организаций профессиональных союзов и объединением работодателей.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В целях развития социального партнерства комитетом по вопросам культуры, информационной политики, социальной защиты населения и взаимодействия с общественными объединениями Законодательного Собрания Краснодарского края разработан план мероприятий для реализации  Закона Краснодарского края от 7 августа 2000 года № 310-КЗ «О социальном партнерстве».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В соответствии с планом мероприятий на территории муниципального образования город-курорт Анапа с целью увеличения охвата работающего населения коллективными договорами проведена следующая работа: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1.</w:t>
      </w:r>
      <w:r w:rsidRPr="00907FD5">
        <w:rPr>
          <w:rFonts w:eastAsia="Calibri"/>
          <w:sz w:val="26"/>
          <w:szCs w:val="26"/>
          <w:lang w:eastAsia="en-US"/>
        </w:rPr>
        <w:tab/>
        <w:t xml:space="preserve">За 9 месяцев 2019 года на территории муниципального образования город-курорт Анапа по вопросам социального партнерства  </w:t>
      </w:r>
      <w:proofErr w:type="gramStart"/>
      <w:r w:rsidRPr="00907FD5">
        <w:rPr>
          <w:rFonts w:eastAsia="Calibri"/>
          <w:sz w:val="26"/>
          <w:szCs w:val="26"/>
          <w:lang w:eastAsia="en-US"/>
        </w:rPr>
        <w:t>организовано и проведено</w:t>
      </w:r>
      <w:proofErr w:type="gramEnd"/>
      <w:r w:rsidRPr="00907FD5">
        <w:rPr>
          <w:rFonts w:eastAsia="Calibri"/>
          <w:sz w:val="26"/>
          <w:szCs w:val="26"/>
          <w:lang w:eastAsia="en-US"/>
        </w:rPr>
        <w:t xml:space="preserve"> 22 семинара, в которых приняло участие 605 представителей организаций различных форм собственности. 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2.</w:t>
      </w:r>
      <w:r w:rsidRPr="00907FD5">
        <w:rPr>
          <w:rFonts w:eastAsia="Calibri"/>
          <w:sz w:val="26"/>
          <w:szCs w:val="26"/>
          <w:lang w:eastAsia="en-US"/>
        </w:rPr>
        <w:tab/>
        <w:t>По теме социального партнерства и преимуществ наличия коллективного договора, как для работников, так и для работодателя в  средствах массовой информации с привлечением интернет ресурсов опубликовано 13  статей.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3.</w:t>
      </w:r>
      <w:r w:rsidRPr="00907FD5">
        <w:rPr>
          <w:rFonts w:eastAsia="Calibri"/>
          <w:sz w:val="26"/>
          <w:szCs w:val="26"/>
          <w:lang w:eastAsia="en-US"/>
        </w:rPr>
        <w:tab/>
        <w:t>Сторонам социального партнерства, желающим заключить коллективный договор, оказывается консультационная и методическая помощь: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07FD5">
        <w:rPr>
          <w:rFonts w:eastAsia="Calibri"/>
          <w:sz w:val="26"/>
          <w:szCs w:val="26"/>
          <w:lang w:eastAsia="en-US"/>
        </w:rPr>
        <w:t>выдан 93 макета коллективного договора;</w:t>
      </w:r>
      <w:r>
        <w:rPr>
          <w:rFonts w:eastAsia="Calibri"/>
          <w:sz w:val="26"/>
          <w:szCs w:val="26"/>
          <w:lang w:eastAsia="en-US"/>
        </w:rPr>
        <w:t xml:space="preserve"> проведены Дни открытого письма.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lastRenderedPageBreak/>
        <w:t>4. Специалистами ГКУ КК ЦЗН города Анапа проводится мониторинг выполнения сторонами социального партнерства обязательств коллективных договоров и соглашений в сфере труда.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5. По результатам мониторинга из числа действующих 496 коллективных договоров в 460 коллективных договорах у организаций частной формой собственности  предусмотрены дополнительные компенсации и гарантии по сравнению с действующим законодательством.  В результате проведенного анализа следует, что  в I полугодии 2019 года по предоставлению работникам этих организаций предоставлено дополнительных гарантий и компенсаций  на общую сумму 26,381 млн. рублей: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а) 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положением, к профессиональным праздникам составила 13,3 млн. рублей. Больше всего материальной помощи оказано к профессиональным праздникам 3 561 млн. рублей.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б) на проведение культурно-массовых и спортивных мероприятий (за исключением средств, направленных на содержание объектов социально-культурной среды) за I полугодие 2019года работодателями было потрачено более одного миллиона рублей;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в) автотранспорт выделили на сумму 4,8 млн. рублей в 2019 году.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>По результатам проведенной работы за 9 месяцев 2019 года 93 организации заключили коллективный договор, из них впервые заключили коллективный договор 8 организаций, продлили срок действия коллективного договора 22 организации, на новый срок заключили 62 организации, внесли  изменения и дополнения 110 организаций.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 xml:space="preserve">6. Вопросы о развитии социального партнерства в муниципальном образовании город-курорт Анапа регулярно рассматриваются на заседаниях трехсторонней комиссии по регулированию социально-трудовых отношений в муниципальном образовании город-курорт Анапа. Также активно ведется работа с работодателями организаций по поводу заключения коллективного договора, делаются запросы о способах обеспечения прав работников на участие в управлении организацией, об обеспечении работниками прав в области социально-трудовых отношений при отсутствии коллективного договора и отправляются работодателям письма с предложением выступить инициатором по заключению коллективного договора. </w:t>
      </w:r>
    </w:p>
    <w:p w:rsidR="00907FD5" w:rsidRP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 xml:space="preserve">Статья 22 Трудового кодекса РФ  «Основные права и обязанности работодателя» вменяет в обязанность работодателя создавать условия, обеспечивающие участие работников в управлении организацией в предусмотренных Трудовым кодексом, иными федеральными законами, коллективным договором формах. </w:t>
      </w:r>
    </w:p>
    <w:p w:rsidR="00907FD5" w:rsidRDefault="00907FD5" w:rsidP="00907FD5">
      <w:pPr>
        <w:widowControl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07FD5">
        <w:rPr>
          <w:rFonts w:eastAsia="Calibri"/>
          <w:sz w:val="26"/>
          <w:szCs w:val="26"/>
          <w:lang w:eastAsia="en-US"/>
        </w:rPr>
        <w:t xml:space="preserve">За первое полугодие 2019 года прекратило действие 36 коллективных договоров. Основными причинами снижения численности </w:t>
      </w:r>
      <w:r>
        <w:rPr>
          <w:rFonts w:eastAsia="Calibri"/>
          <w:sz w:val="26"/>
          <w:szCs w:val="26"/>
          <w:lang w:eastAsia="en-US"/>
        </w:rPr>
        <w:t xml:space="preserve">коллективных договоров являются </w:t>
      </w:r>
      <w:r w:rsidRPr="00907FD5">
        <w:rPr>
          <w:rFonts w:eastAsia="Calibri"/>
          <w:sz w:val="26"/>
          <w:szCs w:val="26"/>
          <w:lang w:eastAsia="en-US"/>
        </w:rPr>
        <w:t xml:space="preserve"> реорганизация учреждений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07FD5">
        <w:rPr>
          <w:rFonts w:eastAsia="Calibri"/>
          <w:sz w:val="26"/>
          <w:szCs w:val="26"/>
          <w:lang w:eastAsia="en-US"/>
        </w:rPr>
        <w:t>снижение численности работающих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07FD5">
        <w:rPr>
          <w:rFonts w:eastAsia="Calibri"/>
          <w:sz w:val="26"/>
          <w:szCs w:val="26"/>
          <w:lang w:eastAsia="en-US"/>
        </w:rPr>
        <w:t>ликвидация организации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07FD5">
        <w:rPr>
          <w:rFonts w:eastAsia="Calibri"/>
          <w:sz w:val="26"/>
          <w:szCs w:val="26"/>
          <w:lang w:eastAsia="en-US"/>
        </w:rPr>
        <w:t>отказ выступить инициатором от заключения коллективного договора на новый срок, ссылаясь на свое право отказаться полностью или частично от принятия локально-правовых актов, ст.309.2 ТК РФ.</w:t>
      </w:r>
    </w:p>
    <w:p w:rsidR="00537602" w:rsidRPr="00D11225" w:rsidRDefault="00537602" w:rsidP="00907FD5">
      <w:pPr>
        <w:widowControl w:val="0"/>
        <w:ind w:firstLine="426"/>
        <w:jc w:val="both"/>
        <w:rPr>
          <w:kern w:val="1"/>
          <w:sz w:val="26"/>
          <w:szCs w:val="26"/>
        </w:rPr>
      </w:pPr>
      <w:r w:rsidRPr="006D34F1">
        <w:rPr>
          <w:sz w:val="26"/>
          <w:szCs w:val="26"/>
        </w:rPr>
        <w:t xml:space="preserve">Заслушав и обсудив информацию </w:t>
      </w:r>
      <w:r w:rsidRPr="003F647D">
        <w:rPr>
          <w:sz w:val="26"/>
          <w:szCs w:val="26"/>
        </w:rPr>
        <w:t xml:space="preserve">начальника отдела </w:t>
      </w:r>
      <w:proofErr w:type="gramStart"/>
      <w:r w:rsidRPr="003F647D">
        <w:rPr>
          <w:sz w:val="26"/>
          <w:szCs w:val="26"/>
        </w:rPr>
        <w:t>трудовых</w:t>
      </w:r>
      <w:proofErr w:type="gramEnd"/>
      <w:r w:rsidRPr="003F647D">
        <w:rPr>
          <w:sz w:val="26"/>
          <w:szCs w:val="26"/>
        </w:rPr>
        <w:t xml:space="preserve"> отношений, охраны труда и взаимодействия с работодателями ГКУ КК «Центр занятости нас</w:t>
      </w:r>
      <w:r w:rsidR="0052070C">
        <w:rPr>
          <w:sz w:val="26"/>
          <w:szCs w:val="26"/>
        </w:rPr>
        <w:t>еления в г. Анапе» И.М. </w:t>
      </w:r>
      <w:r>
        <w:rPr>
          <w:sz w:val="26"/>
          <w:szCs w:val="26"/>
        </w:rPr>
        <w:t>Головиной</w:t>
      </w:r>
      <w:r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7464D8" w:rsidRPr="007464D8" w:rsidRDefault="007464D8" w:rsidP="007464D8">
      <w:pPr>
        <w:widowControl w:val="0"/>
        <w:tabs>
          <w:tab w:val="left" w:pos="-900"/>
          <w:tab w:val="left" w:pos="709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7464D8">
        <w:rPr>
          <w:sz w:val="26"/>
          <w:szCs w:val="26"/>
          <w:lang w:eastAsia="ru-RU"/>
        </w:rPr>
        <w:t>1.</w:t>
      </w:r>
      <w:r w:rsidRPr="007464D8">
        <w:rPr>
          <w:sz w:val="26"/>
          <w:szCs w:val="26"/>
          <w:lang w:eastAsia="ru-RU"/>
        </w:rPr>
        <w:tab/>
        <w:t>Принять к сведению информацию ГКУ КК «Центр занятости населения в г. Анапа» «</w:t>
      </w:r>
      <w:r w:rsidR="00907FD5" w:rsidRPr="00907FD5">
        <w:rPr>
          <w:sz w:val="26"/>
          <w:szCs w:val="26"/>
          <w:lang w:eastAsia="ru-RU"/>
        </w:rPr>
        <w:t>О реализации Закона Краснодарского края  от 7 августа 2000 года № 310-КЗ «О социальном п</w:t>
      </w:r>
      <w:r w:rsidR="00907FD5">
        <w:rPr>
          <w:sz w:val="26"/>
          <w:szCs w:val="26"/>
          <w:lang w:eastAsia="ru-RU"/>
        </w:rPr>
        <w:t>артнерстве в Краснодарском крае</w:t>
      </w:r>
      <w:r w:rsidRPr="007464D8">
        <w:rPr>
          <w:sz w:val="26"/>
          <w:szCs w:val="26"/>
          <w:lang w:eastAsia="ru-RU"/>
        </w:rPr>
        <w:t>».</w:t>
      </w:r>
    </w:p>
    <w:p w:rsidR="00907FD5" w:rsidRPr="00541819" w:rsidRDefault="00907FD5" w:rsidP="00907FD5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C4FD5">
        <w:rPr>
          <w:kern w:val="28"/>
          <w:sz w:val="26"/>
          <w:szCs w:val="26"/>
        </w:rPr>
        <w:lastRenderedPageBreak/>
        <w:t>2.</w:t>
      </w:r>
      <w:r w:rsidRPr="003C4FD5">
        <w:rPr>
          <w:kern w:val="28"/>
          <w:sz w:val="26"/>
          <w:szCs w:val="26"/>
        </w:rPr>
        <w:tab/>
        <w:t xml:space="preserve">Рекомендовать ГКУ КК «Центр занятости населения в г. Анапа» продолжить работу по </w:t>
      </w:r>
      <w:r w:rsidRPr="00907FD5">
        <w:rPr>
          <w:kern w:val="28"/>
          <w:sz w:val="26"/>
          <w:szCs w:val="26"/>
        </w:rPr>
        <w:t>реализации Закона Краснодарского края  от 7 августа 2000 года № 310-КЗ «О социальном партнерстве в Краснодарском крае»</w:t>
      </w:r>
      <w:r>
        <w:rPr>
          <w:kern w:val="28"/>
          <w:sz w:val="26"/>
          <w:szCs w:val="26"/>
        </w:rPr>
        <w:t xml:space="preserve"> </w:t>
      </w:r>
      <w:r w:rsidRPr="003C4FD5">
        <w:rPr>
          <w:kern w:val="28"/>
          <w:sz w:val="26"/>
          <w:szCs w:val="26"/>
        </w:rPr>
        <w:t>в муниципальном образовании город-курорт Анапа.</w:t>
      </w:r>
    </w:p>
    <w:p w:rsidR="009C460D" w:rsidRPr="00D11225" w:rsidRDefault="009C460D" w:rsidP="009C460D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784F50" w:rsidRPr="00D11225" w:rsidTr="00CA3E89">
        <w:tc>
          <w:tcPr>
            <w:tcW w:w="3260" w:type="dxa"/>
          </w:tcPr>
          <w:p w:rsidR="00784F50" w:rsidRPr="00D1122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CA3E89" w:rsidRDefault="00CA3E89" w:rsidP="00CA3E89">
            <w:pPr>
              <w:ind w:right="176"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84F50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784F50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784F50" w:rsidRPr="00D11225" w:rsidRDefault="00784F50" w:rsidP="00CA3E89">
            <w:pPr>
              <w:ind w:right="176"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E7437E" w:rsidRPr="00D11225" w:rsidRDefault="00E7437E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D11225" w:rsidRDefault="00784F50" w:rsidP="007464D8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7464D8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784F50" w:rsidRPr="00D11225" w:rsidRDefault="00784F50" w:rsidP="0049447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D11225" w:rsidRDefault="00784F50" w:rsidP="0049447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 w:rsidR="009B1AD7"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E7437E" w:rsidRPr="00D11225" w:rsidRDefault="00E7437E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D11225" w:rsidRDefault="00E7437E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784F50" w:rsidRPr="00D11225" w:rsidRDefault="00E7437E" w:rsidP="0049447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D11225" w:rsidRDefault="00D11225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D11225" w:rsidRDefault="00494474" w:rsidP="0049447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 w:rsidR="00CD716C"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C460D" w:rsidRPr="009C460D" w:rsidRDefault="009C460D" w:rsidP="009C460D">
      <w:pPr>
        <w:suppressAutoHyphens w:val="0"/>
        <w:ind w:firstLine="851"/>
        <w:jc w:val="both"/>
        <w:rPr>
          <w:sz w:val="26"/>
          <w:szCs w:val="26"/>
          <w:lang w:eastAsia="ru-RU"/>
        </w:rPr>
      </w:pPr>
    </w:p>
    <w:p w:rsidR="001B60D3" w:rsidRPr="00655662" w:rsidRDefault="001B60D3" w:rsidP="00E12F5E">
      <w:pPr>
        <w:ind w:firstLine="851"/>
      </w:pPr>
    </w:p>
    <w:sectPr w:rsidR="001B60D3" w:rsidRPr="00655662" w:rsidSect="00537602">
      <w:headerReference w:type="default" r:id="rId9"/>
      <w:pgSz w:w="11906" w:h="16838"/>
      <w:pgMar w:top="709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A2" w:rsidRDefault="003379A2" w:rsidP="00537602">
      <w:r>
        <w:separator/>
      </w:r>
    </w:p>
  </w:endnote>
  <w:endnote w:type="continuationSeparator" w:id="0">
    <w:p w:rsidR="003379A2" w:rsidRDefault="003379A2" w:rsidP="005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A2" w:rsidRDefault="003379A2" w:rsidP="00537602">
      <w:r>
        <w:separator/>
      </w:r>
    </w:p>
  </w:footnote>
  <w:footnote w:type="continuationSeparator" w:id="0">
    <w:p w:rsidR="003379A2" w:rsidRDefault="003379A2" w:rsidP="0053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998215"/>
      <w:docPartObj>
        <w:docPartGallery w:val="Page Numbers (Top of Page)"/>
        <w:docPartUnique/>
      </w:docPartObj>
    </w:sdtPr>
    <w:sdtEndPr/>
    <w:sdtContent>
      <w:p w:rsidR="00537602" w:rsidRDefault="005376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D5">
          <w:rPr>
            <w:noProof/>
          </w:rPr>
          <w:t>2</w:t>
        </w:r>
        <w:r>
          <w:fldChar w:fldCharType="end"/>
        </w:r>
      </w:p>
    </w:sdtContent>
  </w:sdt>
  <w:p w:rsidR="00537602" w:rsidRDefault="005376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8B"/>
    <w:multiLevelType w:val="hybridMultilevel"/>
    <w:tmpl w:val="AF2462BE"/>
    <w:lvl w:ilvl="0" w:tplc="8F5671D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432"/>
    <w:multiLevelType w:val="hybridMultilevel"/>
    <w:tmpl w:val="CCC68700"/>
    <w:lvl w:ilvl="0" w:tplc="A098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B66D7"/>
    <w:multiLevelType w:val="hybridMultilevel"/>
    <w:tmpl w:val="24645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B60D3"/>
    <w:rsid w:val="001C2504"/>
    <w:rsid w:val="001C781C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379A2"/>
    <w:rsid w:val="00395D8E"/>
    <w:rsid w:val="003D38AF"/>
    <w:rsid w:val="003E2F7E"/>
    <w:rsid w:val="00404E0A"/>
    <w:rsid w:val="00422178"/>
    <w:rsid w:val="00433484"/>
    <w:rsid w:val="00470ACB"/>
    <w:rsid w:val="00494474"/>
    <w:rsid w:val="004B7393"/>
    <w:rsid w:val="004F7550"/>
    <w:rsid w:val="0052070C"/>
    <w:rsid w:val="005324D5"/>
    <w:rsid w:val="00537602"/>
    <w:rsid w:val="005A5BFC"/>
    <w:rsid w:val="005E4B48"/>
    <w:rsid w:val="00634BB9"/>
    <w:rsid w:val="00655662"/>
    <w:rsid w:val="0066068F"/>
    <w:rsid w:val="00683D5D"/>
    <w:rsid w:val="006D34F1"/>
    <w:rsid w:val="006F1F1E"/>
    <w:rsid w:val="00717FC1"/>
    <w:rsid w:val="007464D8"/>
    <w:rsid w:val="00784F50"/>
    <w:rsid w:val="007A39DD"/>
    <w:rsid w:val="007C243D"/>
    <w:rsid w:val="00853EC6"/>
    <w:rsid w:val="00907FD5"/>
    <w:rsid w:val="0096087E"/>
    <w:rsid w:val="00966BDE"/>
    <w:rsid w:val="009B1AD7"/>
    <w:rsid w:val="009C460D"/>
    <w:rsid w:val="009C7881"/>
    <w:rsid w:val="00A403BF"/>
    <w:rsid w:val="00A92FC4"/>
    <w:rsid w:val="00AA551E"/>
    <w:rsid w:val="00B054FB"/>
    <w:rsid w:val="00B176A3"/>
    <w:rsid w:val="00B31ACE"/>
    <w:rsid w:val="00B71EB3"/>
    <w:rsid w:val="00C11393"/>
    <w:rsid w:val="00C1463D"/>
    <w:rsid w:val="00C3138E"/>
    <w:rsid w:val="00C3190F"/>
    <w:rsid w:val="00C42F8B"/>
    <w:rsid w:val="00C57F8C"/>
    <w:rsid w:val="00C97501"/>
    <w:rsid w:val="00CA3E89"/>
    <w:rsid w:val="00CA4855"/>
    <w:rsid w:val="00CB26E2"/>
    <w:rsid w:val="00CC1170"/>
    <w:rsid w:val="00CC5FF7"/>
    <w:rsid w:val="00CD716C"/>
    <w:rsid w:val="00D03BE6"/>
    <w:rsid w:val="00D06E94"/>
    <w:rsid w:val="00D11225"/>
    <w:rsid w:val="00D97AE4"/>
    <w:rsid w:val="00DD4B72"/>
    <w:rsid w:val="00DF20D4"/>
    <w:rsid w:val="00E07BE4"/>
    <w:rsid w:val="00E12F5E"/>
    <w:rsid w:val="00E2169A"/>
    <w:rsid w:val="00E225E0"/>
    <w:rsid w:val="00E548AC"/>
    <w:rsid w:val="00E7437E"/>
    <w:rsid w:val="00F62B8E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table" w:customStyle="1" w:styleId="11">
    <w:name w:val="Сетка таблицы11"/>
    <w:basedOn w:val="a1"/>
    <w:next w:val="a6"/>
    <w:rsid w:val="00537602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table" w:customStyle="1" w:styleId="11">
    <w:name w:val="Сетка таблицы11"/>
    <w:basedOn w:val="a1"/>
    <w:next w:val="a6"/>
    <w:rsid w:val="00537602"/>
    <w:pPr>
      <w:widowControl w:val="0"/>
      <w:autoSpaceDE w:val="0"/>
      <w:autoSpaceDN w:val="0"/>
      <w:adjustRightInd w:val="0"/>
      <w:spacing w:after="0" w:line="319" w:lineRule="auto"/>
      <w:ind w:left="8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37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6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062A-0920-4003-A394-2591FE31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62</cp:revision>
  <cp:lastPrinted>2019-04-03T12:49:00Z</cp:lastPrinted>
  <dcterms:created xsi:type="dcterms:W3CDTF">2010-12-28T05:15:00Z</dcterms:created>
  <dcterms:modified xsi:type="dcterms:W3CDTF">2019-10-07T14:48:00Z</dcterms:modified>
</cp:coreProperties>
</file>