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3E627C" w:rsidRDefault="009959E4" w:rsidP="009959E4">
      <w:pPr>
        <w:rPr>
          <w:sz w:val="26"/>
          <w:szCs w:val="26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</w:p>
    <w:p w:rsidR="009959E4" w:rsidRPr="001162F4" w:rsidRDefault="00226766" w:rsidP="00D739B3">
      <w:pPr>
        <w:tabs>
          <w:tab w:val="left" w:pos="97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F46D1">
        <w:rPr>
          <w:sz w:val="26"/>
          <w:szCs w:val="26"/>
        </w:rPr>
        <w:t>3</w:t>
      </w:r>
      <w:r w:rsidR="00DB3C6B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1E53C5">
        <w:rPr>
          <w:sz w:val="26"/>
          <w:szCs w:val="26"/>
        </w:rPr>
        <w:t xml:space="preserve"> </w:t>
      </w:r>
      <w:r w:rsidR="00E7520B">
        <w:rPr>
          <w:sz w:val="26"/>
          <w:szCs w:val="26"/>
        </w:rPr>
        <w:t>201</w:t>
      </w:r>
      <w:r w:rsidR="00FF46D1">
        <w:rPr>
          <w:sz w:val="26"/>
          <w:szCs w:val="26"/>
        </w:rPr>
        <w:t>5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>года</w:t>
      </w:r>
      <w:r w:rsidR="001E53C5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  </w:t>
      </w:r>
      <w:r w:rsidR="00DB3C6B">
        <w:rPr>
          <w:sz w:val="26"/>
          <w:szCs w:val="26"/>
        </w:rPr>
        <w:t xml:space="preserve">    </w:t>
      </w:r>
      <w:r w:rsidR="00D739B3">
        <w:rPr>
          <w:sz w:val="26"/>
          <w:szCs w:val="26"/>
        </w:rPr>
        <w:t xml:space="preserve">       </w:t>
      </w:r>
      <w:r w:rsidR="00C10685">
        <w:rPr>
          <w:sz w:val="26"/>
          <w:szCs w:val="26"/>
        </w:rPr>
        <w:t xml:space="preserve">               </w:t>
      </w:r>
      <w:r w:rsidR="00DB3C6B">
        <w:rPr>
          <w:sz w:val="26"/>
          <w:szCs w:val="26"/>
        </w:rPr>
        <w:t xml:space="preserve">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                       </w:t>
      </w:r>
      <w:r w:rsidR="009959E4" w:rsidRPr="001162F4">
        <w:rPr>
          <w:sz w:val="26"/>
          <w:szCs w:val="26"/>
        </w:rPr>
        <w:t xml:space="preserve">                        № </w:t>
      </w:r>
      <w:r>
        <w:rPr>
          <w:sz w:val="26"/>
          <w:szCs w:val="26"/>
        </w:rPr>
        <w:t>4</w:t>
      </w:r>
      <w:r w:rsidR="00806A6F">
        <w:rPr>
          <w:sz w:val="26"/>
          <w:szCs w:val="26"/>
        </w:rPr>
        <w:t>/1</w:t>
      </w:r>
    </w:p>
    <w:p w:rsidR="009959E4" w:rsidRPr="001162F4" w:rsidRDefault="009959E4" w:rsidP="009959E4">
      <w:pPr>
        <w:rPr>
          <w:sz w:val="26"/>
          <w:szCs w:val="26"/>
        </w:rPr>
      </w:pPr>
    </w:p>
    <w:p w:rsidR="009959E4" w:rsidRPr="001162F4" w:rsidRDefault="00FF46D1" w:rsidP="00D739B3">
      <w:pPr>
        <w:pStyle w:val="a3"/>
        <w:widowControl w:val="0"/>
        <w:tabs>
          <w:tab w:val="left" w:pos="4395"/>
        </w:tabs>
        <w:spacing w:before="0" w:after="0"/>
        <w:ind w:right="4961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Информация о ходе выполнения территориального трехстороннего соглашения между администрацией муниципального образования город-курорт Анапа, городским объединением организаций профессиональных союзов и объединением работодателей в 2015 году</w:t>
      </w:r>
    </w:p>
    <w:p w:rsidR="009959E4" w:rsidRPr="001162F4" w:rsidRDefault="009959E4" w:rsidP="009959E4">
      <w:pPr>
        <w:pStyle w:val="a3"/>
        <w:widowControl w:val="0"/>
        <w:spacing w:before="0" w:after="0"/>
        <w:rPr>
          <w:bCs/>
          <w:sz w:val="26"/>
          <w:szCs w:val="26"/>
        </w:rPr>
      </w:pPr>
    </w:p>
    <w:p w:rsidR="00653F8A" w:rsidRPr="00653F8A" w:rsidRDefault="00653F8A" w:rsidP="00226766">
      <w:pPr>
        <w:widowControl w:val="0"/>
        <w:ind w:firstLine="567"/>
        <w:jc w:val="both"/>
        <w:rPr>
          <w:b/>
          <w:sz w:val="26"/>
          <w:szCs w:val="26"/>
        </w:rPr>
      </w:pPr>
      <w:r w:rsidRPr="00653F8A">
        <w:rPr>
          <w:b/>
          <w:sz w:val="26"/>
          <w:szCs w:val="26"/>
        </w:rPr>
        <w:t xml:space="preserve">Докладчик </w:t>
      </w:r>
      <w:r w:rsidR="00FF46D1">
        <w:rPr>
          <w:b/>
          <w:sz w:val="26"/>
          <w:szCs w:val="26"/>
        </w:rPr>
        <w:t>С.А. Кириленко</w:t>
      </w:r>
      <w:r w:rsidRPr="00653F8A">
        <w:rPr>
          <w:b/>
          <w:sz w:val="26"/>
          <w:szCs w:val="26"/>
        </w:rPr>
        <w:t>: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Для обеспечения регулирования социально-трудовых отношений и согласования социально-экономических интересов сторон продолжала свою работу Территориальная трехсторонняя комиссия по регулированию социально-трудовых отношений в муниципальном образовании город-курорт Анапа.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proofErr w:type="gramStart"/>
      <w:r w:rsidRPr="00FF46D1">
        <w:rPr>
          <w:sz w:val="26"/>
          <w:szCs w:val="26"/>
        </w:rPr>
        <w:t xml:space="preserve">В 2015 году проведено 3 заседания комиссии, на которых рассмотрены наиболее острые вопросы социально-трудовых отношений, в том числе о </w:t>
      </w:r>
      <w:proofErr w:type="spellStart"/>
      <w:r w:rsidRPr="00FF46D1">
        <w:rPr>
          <w:sz w:val="26"/>
          <w:szCs w:val="26"/>
        </w:rPr>
        <w:t>профобучении</w:t>
      </w:r>
      <w:proofErr w:type="spellEnd"/>
      <w:r w:rsidRPr="00FF46D1">
        <w:rPr>
          <w:sz w:val="26"/>
          <w:szCs w:val="26"/>
        </w:rPr>
        <w:t xml:space="preserve"> женщин, стремящихся возобновить трудовую деятельность после длительного перерыва, связанного с уходом за малолетними детьми; о соблюдении работодателями законодательства РФ о страховых взносах на обязательное пенсионное и медицинское страхование; о развитии социального партнерства и выполнении сторонами условий отраслевых соглашений;</w:t>
      </w:r>
      <w:proofErr w:type="gramEnd"/>
      <w:r w:rsidRPr="00FF46D1">
        <w:rPr>
          <w:sz w:val="26"/>
          <w:szCs w:val="26"/>
        </w:rPr>
        <w:t xml:space="preserve"> об организации работы по содействию трудоустройству незанятых инвалидов в рамках государственной программы Краснодарского края «Содействие занятости населения», на 2014-2017 годы, в муниципальном образовании город-курорт Анапа; о выполнении Регионального соглашения «О минимальной заработной плате в Краснодарском крае» в муниципальном образовании город-курорт Анапа; об организации оздоровительной компании детей и другие.</w:t>
      </w:r>
    </w:p>
    <w:p w:rsidR="00FF46D1" w:rsidRPr="00FF46D1" w:rsidRDefault="00FF46D1" w:rsidP="00FF46D1">
      <w:pPr>
        <w:snapToGrid w:val="0"/>
        <w:ind w:firstLine="567"/>
        <w:jc w:val="both"/>
        <w:rPr>
          <w:b/>
          <w:sz w:val="26"/>
          <w:szCs w:val="26"/>
        </w:rPr>
      </w:pPr>
      <w:r w:rsidRPr="00FF46D1">
        <w:rPr>
          <w:b/>
          <w:sz w:val="26"/>
          <w:szCs w:val="26"/>
        </w:rPr>
        <w:t>В сфере экономики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proofErr w:type="gramStart"/>
      <w:r w:rsidRPr="00FF46D1">
        <w:rPr>
          <w:sz w:val="26"/>
          <w:szCs w:val="26"/>
        </w:rPr>
        <w:t>По итогам деятельности крупных и средних организаций хозяйственного комплекса муниципального образования город-курорт Анапа за 10 месяцев 2015 года, в сравнении с аналогичным периодом 2014 года, достигнут рост объемов производства продукции, выполненных работ, оказанных услуг по основным направлениям экономической деятельности: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строительство – 285,4%,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сельское хозяйство – 166,7%,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связь – 130,5%,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розничная торговля – 125,1%,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курортно-туристский комплекс – 110,4%,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транспорт – 110,4%,</w:t>
      </w:r>
      <w:proofErr w:type="gramEnd"/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общественное питание – 107,0%;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промышленность – 104,7%.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Предпринимательская активность в городе-курорте Анапа продолжает оставаться одной из самых высоких в крае. Численность субъектов малого предпринимательства, осуществляющих деятельность на территории муниципального образования, составила 11,6 тысяч единиц, на 5,2% превысив аналогичный показатель прошлого года. В малом и среднем предпринимательстве работает 38,9% населения, занятого в экономике, субъектами малого и среднего бизнеса формируется 51,9% оборота хозяйствующих субъектов реального сектора экономики. Субъектами малого предпринимательства на 10,3% увеличен оборот от произведенной продукции, выполненных работ, услуг и на 5,8% – объем налоговых поступлений в консолидированный бюджет края.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рамках государственной программы поддержки сельскохозяйственного производства в малых формах хозяйствования 7 крестьянским (фермерским) хозяйствам и 26 гражданам, </w:t>
      </w:r>
      <w:r w:rsidRPr="00FF46D1">
        <w:rPr>
          <w:sz w:val="26"/>
          <w:szCs w:val="26"/>
        </w:rPr>
        <w:lastRenderedPageBreak/>
        <w:t xml:space="preserve">осуществляющим сельскохозяйственную деятельность, выплачены субсидии на общую сумму 5,6 </w:t>
      </w:r>
      <w:proofErr w:type="gramStart"/>
      <w:r w:rsidRPr="00FF46D1">
        <w:rPr>
          <w:sz w:val="26"/>
          <w:szCs w:val="26"/>
        </w:rPr>
        <w:t>млн</w:t>
      </w:r>
      <w:proofErr w:type="gramEnd"/>
      <w:r w:rsidRPr="00FF46D1">
        <w:rPr>
          <w:sz w:val="26"/>
          <w:szCs w:val="26"/>
        </w:rPr>
        <w:t xml:space="preserve"> рублей.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Администрацией города организована презентация инвестиционного потенциала муниципального образования на XIV Международном инвестиционном Форуме «Сочи-2015». В ходе участия в Форуме заключено 9 соглашений на общую сумму 12,6 </w:t>
      </w:r>
      <w:proofErr w:type="gramStart"/>
      <w:r w:rsidRPr="00FF46D1">
        <w:rPr>
          <w:sz w:val="26"/>
          <w:szCs w:val="26"/>
        </w:rPr>
        <w:t>млрд</w:t>
      </w:r>
      <w:proofErr w:type="gramEnd"/>
      <w:r w:rsidRPr="00FF46D1">
        <w:rPr>
          <w:sz w:val="26"/>
          <w:szCs w:val="26"/>
        </w:rPr>
        <w:t xml:space="preserve"> рублей.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proofErr w:type="gramStart"/>
      <w:r w:rsidRPr="00FF46D1">
        <w:rPr>
          <w:sz w:val="26"/>
          <w:szCs w:val="26"/>
        </w:rPr>
        <w:t>В течение года с руководителями предприятий, реализующих социально значимые продукты питания, проводилась работа, направленная на расширение ассортимента и установление размера торговой наценки на данную группу товаров не выше 10,0%. За 11 месяцев 2015 года мобильными группами проведен 2241 информационно-аналитический мониторинг, выявлено 556 фактов превышения торговой наценки; с руководителями предприятий проведена работа, в результате которой необоснованное превышение цен устранено.</w:t>
      </w:r>
      <w:proofErr w:type="gramEnd"/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текущем году осуществлялась реализация мероприятий, направленных на мобилизацию доходов в консолидированный бюджет, сокращение недоимки по налоговым платежам. За 11 месяцев 2015 года проведено 293 заседания комиссий, заслушаны руководители и представители 228 организаций, 69 индивидуальных предпринимателей и 2646 физических лиц. В результате проведенных мероприятий обеспечено дополнительное поступление доходов в консолидированный бюджет края в объеме 138,0 </w:t>
      </w:r>
      <w:proofErr w:type="gramStart"/>
      <w:r w:rsidRPr="00FF46D1">
        <w:rPr>
          <w:sz w:val="26"/>
          <w:szCs w:val="26"/>
        </w:rPr>
        <w:t>млн</w:t>
      </w:r>
      <w:proofErr w:type="gramEnd"/>
      <w:r w:rsidRPr="00FF46D1">
        <w:rPr>
          <w:sz w:val="26"/>
          <w:szCs w:val="26"/>
        </w:rPr>
        <w:t xml:space="preserve"> рублей.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Администрацией города обеспечивается реализация 33 государственных и муниципальных программ, направленных на решение вопросов экономического и социального развития территории. За 11 месяцев 2015 года на реализацию программных мероприятий израсходовано более 3,5 </w:t>
      </w:r>
      <w:proofErr w:type="gramStart"/>
      <w:r w:rsidRPr="00FF46D1">
        <w:rPr>
          <w:sz w:val="26"/>
          <w:szCs w:val="26"/>
        </w:rPr>
        <w:t>млрд</w:t>
      </w:r>
      <w:proofErr w:type="gramEnd"/>
      <w:r w:rsidRPr="00FF46D1">
        <w:rPr>
          <w:sz w:val="26"/>
          <w:szCs w:val="26"/>
        </w:rPr>
        <w:t xml:space="preserve"> рублей бюджетных средств, в т. ч. более 1,5 млрд рублей – средств бюджета муниципального образования.</w:t>
      </w:r>
    </w:p>
    <w:p w:rsidR="00FF46D1" w:rsidRPr="00FF46D1" w:rsidRDefault="00FF46D1" w:rsidP="00FF46D1">
      <w:pPr>
        <w:snapToGrid w:val="0"/>
        <w:ind w:firstLine="567"/>
        <w:jc w:val="both"/>
        <w:rPr>
          <w:b/>
          <w:sz w:val="26"/>
          <w:szCs w:val="26"/>
        </w:rPr>
      </w:pPr>
      <w:r w:rsidRPr="00FF46D1">
        <w:rPr>
          <w:b/>
          <w:sz w:val="26"/>
          <w:szCs w:val="26"/>
        </w:rPr>
        <w:t>В области повышения доходов, уровня жизни населения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Администрацией муниципального образования город-курорт Анапа проводится адресная работа с руководителями хозяйствующих субъектов, направленная на повышение среднемесячного размера заработной платы, в результате которой 3 организации довели среднемесячный размер заработной платы до среднеотраслевого </w:t>
      </w:r>
      <w:proofErr w:type="spellStart"/>
      <w:r w:rsidRPr="00FF46D1">
        <w:rPr>
          <w:sz w:val="26"/>
          <w:szCs w:val="26"/>
        </w:rPr>
        <w:t>среднекраевого</w:t>
      </w:r>
      <w:proofErr w:type="spellEnd"/>
      <w:r w:rsidRPr="00FF46D1">
        <w:rPr>
          <w:sz w:val="26"/>
          <w:szCs w:val="26"/>
        </w:rPr>
        <w:t xml:space="preserve"> уровня; еще 4 организации повысили заработную своим работникам, осуществляя поэтапное доведение ее размера до среднеотраслевого </w:t>
      </w:r>
      <w:proofErr w:type="spellStart"/>
      <w:r w:rsidRPr="00FF46D1">
        <w:rPr>
          <w:sz w:val="26"/>
          <w:szCs w:val="26"/>
        </w:rPr>
        <w:t>среднекраевого</w:t>
      </w:r>
      <w:proofErr w:type="spellEnd"/>
      <w:r w:rsidRPr="00FF46D1">
        <w:rPr>
          <w:sz w:val="26"/>
          <w:szCs w:val="26"/>
        </w:rPr>
        <w:t xml:space="preserve"> уровня.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Среднемесячный размер заработной платы работников крупных и средних организаций муниципального образования город-курорт Анапа составил 28,7 тыс. рублей, что на 8,6% выше аналогичного показателя 2014 года.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Принимаются меры по предотвращению и ликвидации задолженности по заработной плате перед работниками организаций и индивидуальных предпринимателей, для выявления которой организована работа телефона «</w:t>
      </w:r>
      <w:proofErr w:type="gramStart"/>
      <w:r w:rsidRPr="00FF46D1">
        <w:rPr>
          <w:sz w:val="26"/>
          <w:szCs w:val="26"/>
        </w:rPr>
        <w:t>горячей</w:t>
      </w:r>
      <w:proofErr w:type="gramEnd"/>
      <w:r w:rsidRPr="00FF46D1">
        <w:rPr>
          <w:sz w:val="26"/>
          <w:szCs w:val="26"/>
        </w:rPr>
        <w:t xml:space="preserve"> линии», проводится совместная работа по выявлению задолженности с ГКУ КК «Центр занятости населения».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По состоянию на 1 декабря 2015 года на телефон горячей линии поступило 12 обращений по вопросу наличия задолженности по заработной плате. Информация об организациях, допустивших задолженность, направляется в </w:t>
      </w:r>
      <w:proofErr w:type="spellStart"/>
      <w:r w:rsidRPr="00FF46D1">
        <w:rPr>
          <w:sz w:val="26"/>
          <w:szCs w:val="26"/>
        </w:rPr>
        <w:t>Анапскую</w:t>
      </w:r>
      <w:proofErr w:type="spellEnd"/>
      <w:r w:rsidRPr="00FF46D1">
        <w:rPr>
          <w:sz w:val="26"/>
          <w:szCs w:val="26"/>
        </w:rPr>
        <w:t xml:space="preserve"> межрайонную прокуратуру и Государственную инспекцию по труду.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В результате проведенных мероприятий задолженность по заработной плате на сумму 537,3 тыс. рублей погашена в полном объеме.</w:t>
      </w:r>
    </w:p>
    <w:p w:rsidR="00FF46D1" w:rsidRPr="00FF46D1" w:rsidRDefault="00FF46D1" w:rsidP="00FF46D1">
      <w:pPr>
        <w:snapToGri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Докладчик И.М. Головина:</w:t>
      </w:r>
    </w:p>
    <w:p w:rsidR="00FF46D1" w:rsidRPr="00FF46D1" w:rsidRDefault="00FF46D1" w:rsidP="00FF46D1">
      <w:pPr>
        <w:snapToGrid w:val="0"/>
        <w:ind w:firstLine="567"/>
        <w:jc w:val="both"/>
        <w:rPr>
          <w:b/>
          <w:sz w:val="26"/>
          <w:szCs w:val="26"/>
        </w:rPr>
      </w:pPr>
      <w:r w:rsidRPr="00FF46D1">
        <w:rPr>
          <w:b/>
          <w:sz w:val="26"/>
          <w:szCs w:val="26"/>
        </w:rPr>
        <w:t>Развитие рынка труда и содействие занятости населения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proofErr w:type="gramStart"/>
      <w:r w:rsidRPr="00FF46D1">
        <w:rPr>
          <w:sz w:val="26"/>
          <w:szCs w:val="26"/>
        </w:rPr>
        <w:t>В целях организации работы по содействию занятости населения и кадрового обеспечения организаций муниципального образования город-курорт Анапа заместителем главы муниципального образования город-курорт Анапа утвержден перечень мероприятий по содействию занятости населения в муниципальном образовании город-курорт Анапа на 2014-2016 годы, в котором отражены мероприятия по оказанию содействия занятости населения и развитию трудовых ресурсов, объемах финансирования и результатах реализации мероприятий.</w:t>
      </w:r>
      <w:proofErr w:type="gramEnd"/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lastRenderedPageBreak/>
        <w:t>Организована работа по размещению в СМИ информации о состоянии рынка труда, возможностях трудоустройства и профессионального обучения, мероприятиях активной политики занятости населения. За 11 месяцев 2015 года опубликовано 99 статей в городских и краевых СМИ, еженедельно размещается информация о вакансиях в газетах, на интернет-сайтах, на информационном портале  департамента труда и занятости и сайте администрации муниципального образования город-курорт Анапа, изготовлен 1 вид информационного буклета (200 штук), 145 выступлений на радио и телевидении.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Для эффективного трудоустройства центр занятости населения оказывает услуги по </w:t>
      </w:r>
      <w:proofErr w:type="spellStart"/>
      <w:r w:rsidRPr="00FF46D1">
        <w:rPr>
          <w:sz w:val="26"/>
          <w:szCs w:val="26"/>
        </w:rPr>
        <w:t>профобучению</w:t>
      </w:r>
      <w:proofErr w:type="spellEnd"/>
      <w:r w:rsidRPr="00FF46D1">
        <w:rPr>
          <w:sz w:val="26"/>
          <w:szCs w:val="26"/>
        </w:rPr>
        <w:t xml:space="preserve"> граждан для заполнения заявленных вакансий, проводит ярмарки вакансий. За 11 месяцев 2015 года при содействии центра занятости населения города Анапа трудоустроено 4511 человек, прошли профессиональное обучение 134 человека, в ярмарках вакансий приняли участие 4209 человек, из них нашли работу 1701 человек.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целях совершенствования  и развития системы профессиональной ориентации граждан за 11 месяцев 2015 года проведено 113 </w:t>
      </w:r>
      <w:proofErr w:type="spellStart"/>
      <w:r w:rsidRPr="00FF46D1">
        <w:rPr>
          <w:sz w:val="26"/>
          <w:szCs w:val="26"/>
        </w:rPr>
        <w:t>профориентационных</w:t>
      </w:r>
      <w:proofErr w:type="spellEnd"/>
      <w:r w:rsidRPr="00FF46D1">
        <w:rPr>
          <w:sz w:val="26"/>
          <w:szCs w:val="26"/>
        </w:rPr>
        <w:t xml:space="preserve"> мероприятий, в которых приняли участие 5340 подростков, 14 педагогов и 565 родителей. Все несовершеннолетние граждане получили услуги по профориентации, прошли тестирование для определения будущей профессии. Центром занятости организовано 4 </w:t>
      </w:r>
      <w:proofErr w:type="spellStart"/>
      <w:r w:rsidRPr="00FF46D1">
        <w:rPr>
          <w:sz w:val="26"/>
          <w:szCs w:val="26"/>
        </w:rPr>
        <w:t>профориентационные</w:t>
      </w:r>
      <w:proofErr w:type="spellEnd"/>
      <w:r w:rsidRPr="00FF46D1">
        <w:rPr>
          <w:sz w:val="26"/>
          <w:szCs w:val="26"/>
        </w:rPr>
        <w:t xml:space="preserve"> экскурсии на предприятия, в которых приняли участие  123 подростка. Проведено 4 акции «Выбери будущее сегодня», в которой приняли участие 22 подростка, состоящих на учете в комиссии по делам несовершеннолетних и защите их прав. </w:t>
      </w:r>
      <w:proofErr w:type="gramStart"/>
      <w:r w:rsidRPr="00FF46D1">
        <w:rPr>
          <w:sz w:val="26"/>
          <w:szCs w:val="26"/>
        </w:rPr>
        <w:t>Специалистами Центра занятости населения на родительских собраниях в образовательных учреждениях МО город-курорт Анапа  доводится информация несовершеннолетним гражданам в возрасте от 14 до 18 лет и их родителям о порядке временного трудоустройства подростков в свободное от учебы время или во время каникул, положениях трудового законодательства, регламентирующих труд несовершеннолетних, ответственности работодателей за нарушение трудовых прав несовершеннолетних.</w:t>
      </w:r>
      <w:proofErr w:type="gramEnd"/>
      <w:r w:rsidRPr="00FF46D1">
        <w:rPr>
          <w:sz w:val="26"/>
          <w:szCs w:val="26"/>
        </w:rPr>
        <w:t xml:space="preserve"> За январь-ноябрь 2015 года мы приняли участие в 10 общешкольных собраниях, на которых присутствовало 565 человек.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С целью формирования у молодежи правовой культуры в области трудового права специалистами Центра занятости населения проводятся классные часы для учащихся 8-11 классов, на которых школьников информируют о востребованных профессиях, основных положениях трудового законодательства, особенностях регулирования труда несовершеннолетних, порядке оформления трудовых отношений. За 11 месяцев 2015 года проведено 56 классных часа, в которых  приняли участие 2145 человек.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За январь-ноябрь 2015 года получили услугу по профориентации 3884 граждан, ищущих работу.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Центр занятости населения города Анапа еженедельно проводит мониторинг сведений об увольнении работников в связи с ликвидацией организаций либо сокращением численности или штата работников организаций, расположенных на территории города Анапа.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случае массового увольнения работников специалистами центра занятости населения проводятся </w:t>
      </w:r>
      <w:proofErr w:type="spellStart"/>
      <w:r w:rsidRPr="00FF46D1">
        <w:rPr>
          <w:sz w:val="26"/>
          <w:szCs w:val="26"/>
        </w:rPr>
        <w:t>предувольнительные</w:t>
      </w:r>
      <w:proofErr w:type="spellEnd"/>
      <w:r w:rsidRPr="00FF46D1">
        <w:rPr>
          <w:sz w:val="26"/>
          <w:szCs w:val="26"/>
        </w:rPr>
        <w:t xml:space="preserve"> консультации для информирования работников, подлежащих увольнению о правах, льготах и компенсациях при увольнении, а также о порядке обращения в государственную службу занятости, оказываемых услугах, востребованных профессиях.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proofErr w:type="gramStart"/>
      <w:r w:rsidRPr="00FF46D1">
        <w:rPr>
          <w:sz w:val="26"/>
          <w:szCs w:val="26"/>
        </w:rPr>
        <w:t xml:space="preserve">В 2015 году проведено 7 </w:t>
      </w:r>
      <w:proofErr w:type="spellStart"/>
      <w:r w:rsidRPr="00FF46D1">
        <w:rPr>
          <w:sz w:val="26"/>
          <w:szCs w:val="26"/>
        </w:rPr>
        <w:t>предувольнительных</w:t>
      </w:r>
      <w:proofErr w:type="spellEnd"/>
      <w:r w:rsidRPr="00FF46D1">
        <w:rPr>
          <w:sz w:val="26"/>
          <w:szCs w:val="26"/>
        </w:rPr>
        <w:t xml:space="preserve">  консультаций, в которых приняли участие  778 граждан, подлежащих увольнению в связи с ликвидацией организаций либо сокращением численности или штата работников организаций ФБЛПУ «Санаторий «Эллада» ФНС России», ООО «Санаторий «Дюна», ООО «СПК им. В.И.</w:t>
      </w:r>
      <w:r w:rsidR="00A535C4">
        <w:rPr>
          <w:sz w:val="26"/>
          <w:szCs w:val="26"/>
        </w:rPr>
        <w:t xml:space="preserve"> </w:t>
      </w:r>
      <w:r w:rsidRPr="00FF46D1">
        <w:rPr>
          <w:sz w:val="26"/>
          <w:szCs w:val="26"/>
        </w:rPr>
        <w:t>Ленина», Филиал ООО «Газпром добыча Уренгой» ЛОК «Витязь», Филиал Управление корпоративной защиты общества с ограниченной ответственностью «Газпром добыча Уренгой», ОВО</w:t>
      </w:r>
      <w:proofErr w:type="gramEnd"/>
      <w:r w:rsidRPr="00FF46D1">
        <w:rPr>
          <w:sz w:val="26"/>
          <w:szCs w:val="26"/>
        </w:rPr>
        <w:t xml:space="preserve"> по городу-курорту Анапа-филиал ФГКУ УВО ГУ МВД России по Краснодарскому краю, ООО «Черноморские скоростные линии».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На территории Краснодарского края с 8 февраля 2000 года действует закон №231-КЗ «О квотировании рабочих ме</w:t>
      </w:r>
      <w:proofErr w:type="gramStart"/>
      <w:r w:rsidRPr="00FF46D1">
        <w:rPr>
          <w:sz w:val="26"/>
          <w:szCs w:val="26"/>
        </w:rPr>
        <w:t>ст в Кр</w:t>
      </w:r>
      <w:proofErr w:type="gramEnd"/>
      <w:r w:rsidRPr="00FF46D1">
        <w:rPr>
          <w:sz w:val="26"/>
          <w:szCs w:val="26"/>
        </w:rPr>
        <w:t xml:space="preserve">аснодарском крае» в соответствии с которым,  </w:t>
      </w:r>
      <w:r w:rsidRPr="00FF46D1">
        <w:rPr>
          <w:sz w:val="26"/>
          <w:szCs w:val="26"/>
        </w:rPr>
        <w:lastRenderedPageBreak/>
        <w:t xml:space="preserve">постановлением администрации муниципального образования город-курорт Анапа утвержден перечень предприятий, организаций которым устанавливаются квоты для трудоустройства граждан, испытывающих трудности в поиске работы на 2015 год. Во исполнение Постановления 142 предприятия создали 347 рабочих мест  для трудоустройства инвалидов, 237  мест для трудоустройства молодежи; граждан, освобожденных из мест лишения свободы до погашения судимости; граждан, прошедших курс лечения и реабилитации от наркомании и алкоголизма.  </w:t>
      </w:r>
      <w:proofErr w:type="gramStart"/>
      <w:r w:rsidRPr="00FF46D1">
        <w:rPr>
          <w:sz w:val="26"/>
          <w:szCs w:val="26"/>
        </w:rPr>
        <w:t xml:space="preserve">За 11 месяцев  2015 года  на созданных рабочих местах работали 326 инвалидов и 106 граждан испытывающих трудности в поиске работы, а именно: 37 несовершеннолетних граждан в возрасте от 14 до 16 лет,  62 выпускника в возрасте от 18 до 20 лет, имеющих среднее профессиональное образование  и ищущих работу впервые, 7 граждан, освободившихся из мест лишения свободы, до погашения судимости. </w:t>
      </w:r>
      <w:proofErr w:type="gramEnd"/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Одной из приоритетных задач центра занятости населения является организация и проведение общественных работ для граждан, зарегистрированных в целях поиска подходящей работы и безработных. Граждане, работающие на общественных работах, получают от организаций заработную плату в размере не ниже 5965 рублей в месяц, а так же материальную поддержку 850 рублей в месяц за счет сре</w:t>
      </w:r>
      <w:proofErr w:type="gramStart"/>
      <w:r w:rsidRPr="00FF46D1">
        <w:rPr>
          <w:sz w:val="26"/>
          <w:szCs w:val="26"/>
        </w:rPr>
        <w:t>дств кр</w:t>
      </w:r>
      <w:proofErr w:type="gramEnd"/>
      <w:r w:rsidRPr="00FF46D1">
        <w:rPr>
          <w:sz w:val="26"/>
          <w:szCs w:val="26"/>
        </w:rPr>
        <w:t>аевого бюджета.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В 2015 году приняли участие 452 человека, в том числе 178 безработных граждан.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На 2015 год из местного бюджета выделено 1211,8 тысячи рублей на организацию общественных работ. </w:t>
      </w:r>
      <w:proofErr w:type="gramStart"/>
      <w:r w:rsidRPr="00FF46D1">
        <w:rPr>
          <w:sz w:val="26"/>
          <w:szCs w:val="26"/>
        </w:rPr>
        <w:t>Граждане, получающие заработную плату из местного бюджета, выполняли работы по благоустройству и наведению санитарного порядка, уничтожению амброзии и другой сорной растительности на территории муниципального образования город-курорт Анапа, по ремонту памятников, обелисков и мемориалов ко Дню Победы, а также в общественных работах по уборке пляжей, наведению и поддержанию санитарного порядка курортной зоны, по скашиванию травы и вырубке кустарников на обочинах дорог</w:t>
      </w:r>
      <w:proofErr w:type="gramEnd"/>
      <w:r w:rsidRPr="00FF46D1">
        <w:rPr>
          <w:sz w:val="26"/>
          <w:szCs w:val="26"/>
        </w:rPr>
        <w:t>, очистке дорожных покрытий от грязи в местах, недоступных для дорожной техники. Участие в общественных работах позволяет гражданам получить материальную поддержку в виде временного заработка (дохода); сохранить мотивацию к труду у лиц, имеющих длительный перерыв в работе.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Предприятия санаторно-курортного комплекса организуют общественные работы в курортный сезон, 309 человек были трудоустроены на предприятия: </w:t>
      </w:r>
      <w:proofErr w:type="gramStart"/>
      <w:r w:rsidRPr="00FF46D1">
        <w:rPr>
          <w:sz w:val="26"/>
          <w:szCs w:val="26"/>
        </w:rPr>
        <w:t xml:space="preserve">ООО «Ласковый Берег», ООО «Одиссея», ООО «Санаторий Вита», ООО «Санаторий Черноморская зорька», Культурно-оздоровительный центр Краснодарского творческого объединения «Премьера», ООО «Арбат Отель Менеджмент», ООО «Барракуда»,  Федеральное государственное бюджетное образовательное учреждение дополнительного образования "Всероссийский детский центр «Смена» и т.д. </w:t>
      </w:r>
      <w:proofErr w:type="gramEnd"/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Организация общественных работ дает возможность работодателю в период временных работ присмотреться к работнику, оценить его деловые качества и принять  решение о его трудоустройстве на постоянную работу.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В муниципальном образовании город-курорт Анапа организована работа по созданию временных рабочих мест для трудоустройства несовершеннолетних в возрасте от 14 до 18 лет в свободное от учебы время.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Из муниципального бюджета  в 2015 году на мероприятия по организации временного трудоустройства несовершеннолетних выделено 3086,4 тысяч рублей.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соответствии с договором о совместной деятельности между центром занятости населения и работодателями за январь-ноябрь 2015 года трудоустроено 822 подростка. Из общего числа </w:t>
      </w:r>
      <w:proofErr w:type="gramStart"/>
      <w:r w:rsidRPr="00FF46D1">
        <w:rPr>
          <w:sz w:val="26"/>
          <w:szCs w:val="26"/>
        </w:rPr>
        <w:t>трудоустроенных</w:t>
      </w:r>
      <w:proofErr w:type="gramEnd"/>
      <w:r w:rsidRPr="00FF46D1">
        <w:rPr>
          <w:sz w:val="26"/>
          <w:szCs w:val="26"/>
        </w:rPr>
        <w:t xml:space="preserve"> – 434 (52.8%) подростка находятся в трудной жизненной ситуации.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 Подростки выполняют подсобные и вспомогательные работы, не требующие осторожности. Наиболее востребованными для несовершеннолетних являются вакансии уборщик территории, подсобный рабочий, рабочий зеленного хозяйства, помощник кухонного рабочего, официант.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lastRenderedPageBreak/>
        <w:t>В июне 2015 года проведена ярмарка вакансий для несовершеннолетних, посвященная Дню защиты детей, в которой приняли участие 5 работодателей, 170 подростков. По результатам ярмарки трудоустроены 164 подростка.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Центром занятости населения проводится работа по содействию в трудоустройстве инвалидов. Основной проблемой является - несоответствие рекомендаций индивидуальной программы реабилитации (ИПРИ) рабочему месту, которое предлагает работодатель и зачастую в нежелании самого инвалида найти работу. Поэтому необходим индивидуальный подход к работе с самим инвалидом и с работодателем, доведение информации о материальном стимулировании работодателя при приеме инвалида на работу.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С 2010 года реализуется программа, в соответствии с которой работодателю компенсируются затраты на оборудование рабочего при приеме на работу инвалида.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По состоянию на 1 декабря 2015 года 16 инвалидов трудоустроены на оснащенные рабочие места.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Центр занятости населения города Анапа реализует программу профессионального обучения и дополнительного профессионального образования по профессиям, востребованным на рынке труда. Профессиональное обучение женщин проводится с целью их дальнейшего трудоустройства или возвращения на прежнее место работы на более благоприятных условиях с учетом требований работодателя, повышения конкурентоспособности женщин на рынке труда, снижения риска их увольнения  вследствие утраты профессиональной квалификации после выхода из отпуска по уходу за ребенком, достигшим возраста 3-х лет.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2015 году на профессиональное обучение и дополнительное профессиональное образование  направлено 12 женщин, имеющих детей в возрасте до 3-х лет по профессии делопроизводитель, по программе 1 «С» бухгалтерия, по программе управление государственными и муниципальными заказами.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После обучения женщины  </w:t>
      </w:r>
      <w:proofErr w:type="gramStart"/>
      <w:r w:rsidRPr="00FF46D1">
        <w:rPr>
          <w:sz w:val="26"/>
          <w:szCs w:val="26"/>
        </w:rPr>
        <w:t>приступили к труду уже как высококвалифицированные работники и риск увольнения вследствие утраты профессиональной квалификации им не грозит</w:t>
      </w:r>
      <w:proofErr w:type="gramEnd"/>
      <w:r w:rsidRPr="00FF46D1">
        <w:rPr>
          <w:sz w:val="26"/>
          <w:szCs w:val="26"/>
        </w:rPr>
        <w:t xml:space="preserve">. </w:t>
      </w:r>
    </w:p>
    <w:p w:rsidR="00FF46D1" w:rsidRPr="00FF46D1" w:rsidRDefault="00FF46D1" w:rsidP="00FF46D1">
      <w:pPr>
        <w:snapToGrid w:val="0"/>
        <w:ind w:firstLine="567"/>
        <w:jc w:val="both"/>
        <w:rPr>
          <w:b/>
          <w:sz w:val="26"/>
          <w:szCs w:val="26"/>
        </w:rPr>
      </w:pPr>
      <w:r w:rsidRPr="00FF46D1">
        <w:rPr>
          <w:b/>
          <w:sz w:val="26"/>
          <w:szCs w:val="26"/>
        </w:rPr>
        <w:t>Социальное партнерство в сфере труда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1.1. В настоящее время на территории муниципального образования г-к Анапа действуют 4 </w:t>
      </w:r>
      <w:proofErr w:type="gramStart"/>
      <w:r w:rsidRPr="00FF46D1">
        <w:rPr>
          <w:sz w:val="26"/>
          <w:szCs w:val="26"/>
        </w:rPr>
        <w:t>отраслевых</w:t>
      </w:r>
      <w:proofErr w:type="gramEnd"/>
      <w:r w:rsidRPr="00FF46D1">
        <w:rPr>
          <w:sz w:val="26"/>
          <w:szCs w:val="26"/>
        </w:rPr>
        <w:t xml:space="preserve"> соглашения, заключенные между территориальными отраслевыми профсоюзами и соответствующими управлениями администрации: образование, торговля и общественное питание, здравоохранение, культура.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На момент принятия в 2012 году Территориального трехстороннего соглашения между администрацией муниципального образования город-курорт Анапа, городским объединением организаций профессиональных союзов и объединением работодателей было заключено 462 коллективных договора с охватом работающего населения  26929  человек. В настоящее время уведомительную регистрацию прошли 509 коллективных договоров, которые охватывают 26873 работника, что составляет 55 % от общего числа работающих на территории города-курорта Анапа.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На 1 декабря 2015 года на предприятиях и в организациях МО г-к Анапа заключено 180 коллективных договоров.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Впервые коллективные договоры заключили 28 организаций: </w:t>
      </w:r>
      <w:proofErr w:type="gramStart"/>
      <w:r w:rsidRPr="00FF46D1">
        <w:rPr>
          <w:sz w:val="26"/>
          <w:szCs w:val="26"/>
        </w:rPr>
        <w:t xml:space="preserve">ИП </w:t>
      </w:r>
      <w:proofErr w:type="spellStart"/>
      <w:r w:rsidRPr="00FF46D1">
        <w:rPr>
          <w:sz w:val="26"/>
          <w:szCs w:val="26"/>
        </w:rPr>
        <w:t>Нурджанян</w:t>
      </w:r>
      <w:proofErr w:type="spellEnd"/>
      <w:r w:rsidRPr="00FF46D1">
        <w:rPr>
          <w:sz w:val="26"/>
          <w:szCs w:val="26"/>
        </w:rPr>
        <w:t xml:space="preserve"> С.Ш., ООО «Радуга», ИП Шевченко Е.С., ООО «Модус-В», МАОУ Кадетская школа им. Героя Советского Союза Старшинова Н.В., МБУ МО г-к Анапа «Центр развития и оказания курортных услуг», ИП Максимова Н.А., ООО «Пансионат «Эдем», Войсковая часть 40515, «ООО Пансионат Фея-3», ИП </w:t>
      </w:r>
      <w:proofErr w:type="spellStart"/>
      <w:r w:rsidRPr="00FF46D1">
        <w:rPr>
          <w:sz w:val="26"/>
          <w:szCs w:val="26"/>
        </w:rPr>
        <w:t>Жамов</w:t>
      </w:r>
      <w:proofErr w:type="spellEnd"/>
      <w:r w:rsidRPr="00FF46D1">
        <w:rPr>
          <w:sz w:val="26"/>
          <w:szCs w:val="26"/>
        </w:rPr>
        <w:t xml:space="preserve"> А.А., ООО «Строитель», ООО «Фея-4», ИП Яценко Ю.В., ООО «Помощь», ООО</w:t>
      </w:r>
      <w:proofErr w:type="gramEnd"/>
      <w:r w:rsidRPr="00FF46D1">
        <w:rPr>
          <w:sz w:val="26"/>
          <w:szCs w:val="26"/>
        </w:rPr>
        <w:t xml:space="preserve"> «</w:t>
      </w:r>
      <w:proofErr w:type="gramStart"/>
      <w:r w:rsidRPr="00FF46D1">
        <w:rPr>
          <w:sz w:val="26"/>
          <w:szCs w:val="26"/>
        </w:rPr>
        <w:t>Зори Анапы», ООО «Санаторий «Огонек», ООО «Одиссея», ООО «</w:t>
      </w:r>
      <w:proofErr w:type="spellStart"/>
      <w:r w:rsidRPr="00FF46D1">
        <w:rPr>
          <w:sz w:val="26"/>
          <w:szCs w:val="26"/>
        </w:rPr>
        <w:t>Ателика</w:t>
      </w:r>
      <w:proofErr w:type="spellEnd"/>
      <w:r w:rsidRPr="00FF46D1">
        <w:rPr>
          <w:sz w:val="26"/>
          <w:szCs w:val="26"/>
        </w:rPr>
        <w:t xml:space="preserve"> Гранд Прибой», ИП Гончаров М.В., ООО «Ла Веранда», ИП Печерица Р.В., ООО Сервисное предприятие «ЛИФТ», ООО «Лифт Гранд Технолоджи», ООО «Атлант мега групп», МБУЗ «Патологоанатомическое Бюро», ООО «Инвест-СБ» и ООО «Аспект».</w:t>
      </w:r>
      <w:proofErr w:type="gramEnd"/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lastRenderedPageBreak/>
        <w:t>В результате проведенного анализа следует, что общая сумма затрат в I полугодии 2015 года по предоставлению дополнительных гарантий и компенсаций  работникам составила 22,3 млн. рублей, что по сравнению с аналогичным периодом 2012 года на 12 млн. рублей меньше, том числе по видам:</w:t>
      </w:r>
    </w:p>
    <w:p w:rsidR="00FF46D1" w:rsidRPr="00FF46D1" w:rsidRDefault="00FF46D1" w:rsidP="00FF46D1">
      <w:pPr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1.</w:t>
      </w:r>
      <w:r w:rsidRPr="00FF46D1">
        <w:rPr>
          <w:sz w:val="26"/>
          <w:szCs w:val="26"/>
        </w:rPr>
        <w:tab/>
        <w:t>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материальным положением, к профессиональным праздникам составила 8,4 млн. рублей. Больше всего материальной помощи оказано к профессиональным праздникам 1818 тыс. руб. и юбилейным датам 1 212 тыс. руб.</w:t>
      </w:r>
    </w:p>
    <w:p w:rsidR="00FF46D1" w:rsidRPr="00FF46D1" w:rsidRDefault="00FF46D1" w:rsidP="00FF46D1">
      <w:pPr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2.</w:t>
      </w:r>
      <w:r w:rsidRPr="00FF46D1">
        <w:rPr>
          <w:sz w:val="26"/>
          <w:szCs w:val="26"/>
        </w:rPr>
        <w:tab/>
        <w:t>На проведение культурно-массовых и спортивных мероприятий (за исключением средств, направленных на содержание объектов социально-культурной среды) за I полугодие 2015 года работодателями было потрачено более одного миллиона рублей.</w:t>
      </w:r>
    </w:p>
    <w:p w:rsidR="00FF46D1" w:rsidRPr="00FF46D1" w:rsidRDefault="00FF46D1" w:rsidP="00FF46D1">
      <w:pPr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3.</w:t>
      </w:r>
      <w:r w:rsidRPr="00FF46D1">
        <w:rPr>
          <w:sz w:val="26"/>
          <w:szCs w:val="26"/>
        </w:rPr>
        <w:tab/>
        <w:t>Показатель по выделению автотранспорта составил 2,8 млн. рублей.</w:t>
      </w:r>
    </w:p>
    <w:p w:rsidR="00FF46D1" w:rsidRPr="00FF46D1" w:rsidRDefault="00FF46D1" w:rsidP="00FF46D1">
      <w:pPr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4.</w:t>
      </w:r>
      <w:r w:rsidRPr="00FF46D1">
        <w:rPr>
          <w:sz w:val="26"/>
          <w:szCs w:val="26"/>
        </w:rPr>
        <w:tab/>
        <w:t>Оплата стоимости питания в организациях и учреждениях МО г-к Анапа на первое полугодие 2015 года составила 1258 тыс. рублей, на аналогичный период 2012 года работники получили питание на 350 тыс. рублей.</w:t>
      </w:r>
    </w:p>
    <w:p w:rsidR="00FF46D1" w:rsidRPr="00FF46D1" w:rsidRDefault="00FF46D1" w:rsidP="00FF46D1">
      <w:pPr>
        <w:tabs>
          <w:tab w:val="left" w:pos="851"/>
        </w:tabs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5.</w:t>
      </w:r>
      <w:r w:rsidRPr="00FF46D1">
        <w:rPr>
          <w:sz w:val="26"/>
          <w:szCs w:val="26"/>
        </w:rPr>
        <w:tab/>
        <w:t>Автотранспорт выделили на сумму 3,5 млн. рублей в 2012 году и 2,9 млн. рублей в 2015 году.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Более 2 млн. рублей составили выплаты за выслугу лет. Работодатели обеспечили улучшение условий и охраны труда (сверх законодательно установленных нормативов) своих работников на общую сумму 2,8 млн. рублей.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Таким образом, за I полугодие 2015 года из 503 действующих коллективных договоров в 258 предусмотрены дополнительные гарантии и компенсации работникам, что составляет 51% от общего числа коллективных договоров.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О выполнении «Регионального соглашения о минимальной заработной плате» в  муниципальном образовании город-курорт  Анапа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настоящее время мониторингом выполнения «Регионального соглашения о минимальной заработной плате» в  муниципальном образовании город-курорт  Анапа охвачено 1184 работодателя. Случаев установления работодателями, участвующими в мониторинге  заработной платы ниже прожиточного уровня для трудоспособного населения в 2016 году не установлено.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На первое декабря 2015 года в МО г-к Анапа  из зарегистрированных 509 коллективных договоров, 311 коллективных договора действуют в хозяйствующих субъектах. В 206 договорах хозяйствующих субъектов минимальная заработная плата установлена на уровне величины прожиточного минимума для трудоспособного населения, в 105 договорах стороны предусмотрели минимальную оплату труда выше прожиточного минимума.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Информирование работодателей (представителей работодателей), работников (представителей работников) по вопросам реализации трудового законодательства в муниципальном образовании город-курорт Анапа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В целях дальнейшего развития социального партнерства, увеличения охвата организаций коллективно-договорными отношениями проводится работа по информированию сторон трудовых  отношений по вопросам реализации трудового законодательства.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2015 году проведено 24 семинара с работодателями, в которых приняло участие 530 представителей работодателей. Из них 22 семинара-совещания проведено с выездом </w:t>
      </w:r>
      <w:proofErr w:type="gramStart"/>
      <w:r w:rsidRPr="00FF46D1">
        <w:rPr>
          <w:sz w:val="26"/>
          <w:szCs w:val="26"/>
        </w:rPr>
        <w:t>в</w:t>
      </w:r>
      <w:proofErr w:type="gramEnd"/>
      <w:r w:rsidRPr="00FF46D1">
        <w:rPr>
          <w:sz w:val="26"/>
          <w:szCs w:val="26"/>
        </w:rPr>
        <w:t xml:space="preserve"> сельские округа. На семинарах до работодателей была доведена информация следующего содержания: «О минимальной заработной плате в Краснодарском крае», «Регулирование социально-трудовых отношений», «Особенности регулирования труда несовершеннолетних работников и инвалидов», «Развитие социального партнерства. О пользе коллективного договора для работодателей», «Легализация трудовых отношений. Неформальная занятость», «Порядок оформления </w:t>
      </w:r>
      <w:proofErr w:type="gramStart"/>
      <w:r w:rsidRPr="00FF46D1">
        <w:rPr>
          <w:sz w:val="26"/>
          <w:szCs w:val="26"/>
        </w:rPr>
        <w:t>трудовых</w:t>
      </w:r>
      <w:proofErr w:type="gramEnd"/>
      <w:r w:rsidRPr="00FF46D1">
        <w:rPr>
          <w:sz w:val="26"/>
          <w:szCs w:val="26"/>
        </w:rPr>
        <w:t xml:space="preserve"> отношений».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В 2015 году для работников с целью разъяснения трудового законодательства в средствах массовой информации было опубликовано 16 статей: «Это надо знать! </w:t>
      </w:r>
      <w:proofErr w:type="gramStart"/>
      <w:r w:rsidRPr="00FF46D1">
        <w:rPr>
          <w:sz w:val="26"/>
          <w:szCs w:val="26"/>
        </w:rPr>
        <w:t xml:space="preserve">Локальные </w:t>
      </w:r>
      <w:r w:rsidRPr="00FF46D1">
        <w:rPr>
          <w:sz w:val="26"/>
          <w:szCs w:val="26"/>
        </w:rPr>
        <w:lastRenderedPageBreak/>
        <w:t>нормативные акты работодателей», «О действующих коллективных договорах в муниципальном образовании город-курорт Анапа за 2014 год», «Какие условия можно включить в коллективный договор», «Особенности применения труда лиц, не достигших возраста 18 лет»,  «Несовершеннолетний устраивается на работу», «Что такое МРОТ?», «В отношении несовершеннолетних запрещается», «Развитие коллективно-договорных отношений в муниципальном образовании город-курорт Анапа за первое полугодие 2015 года», «О необходимости заключения коллективных</w:t>
      </w:r>
      <w:proofErr w:type="gramEnd"/>
      <w:r w:rsidRPr="00FF46D1">
        <w:rPr>
          <w:sz w:val="26"/>
          <w:szCs w:val="26"/>
        </w:rPr>
        <w:t xml:space="preserve"> договоров», «Индексация заработной платы», «Продолжаем заключение коллективных договоров», «Оплата отпуска за ненормированный рабочий день», «Коллективный договор – польза для работников». 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В 2015 году 12 организаций не перезаключили коллективные договоры: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3 организации (ООО «Киноцентр», ОАО Транспортное предприятие «</w:t>
      </w:r>
      <w:proofErr w:type="spellStart"/>
      <w:r w:rsidRPr="00FF46D1">
        <w:rPr>
          <w:sz w:val="26"/>
          <w:szCs w:val="26"/>
        </w:rPr>
        <w:t>Агропромтранс</w:t>
      </w:r>
      <w:proofErr w:type="spellEnd"/>
      <w:r w:rsidRPr="00FF46D1">
        <w:rPr>
          <w:sz w:val="26"/>
          <w:szCs w:val="26"/>
        </w:rPr>
        <w:t>», ООО «</w:t>
      </w:r>
      <w:proofErr w:type="spellStart"/>
      <w:r w:rsidRPr="00FF46D1">
        <w:rPr>
          <w:sz w:val="26"/>
          <w:szCs w:val="26"/>
        </w:rPr>
        <w:t>Металлснаб</w:t>
      </w:r>
      <w:proofErr w:type="spellEnd"/>
      <w:r w:rsidRPr="00FF46D1">
        <w:rPr>
          <w:sz w:val="26"/>
          <w:szCs w:val="26"/>
        </w:rPr>
        <w:t>») не ведут хозяйственную деятельность;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в ООО «Урожай-2» сократилась численность работников (менее трёх человек);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 xml:space="preserve">4 организации (ЗАО «Торговый дом «Алмаз Холдинг», ООО Тепличный комбинат «Анапа», ИП </w:t>
      </w:r>
      <w:proofErr w:type="spellStart"/>
      <w:r w:rsidRPr="00FF46D1">
        <w:rPr>
          <w:sz w:val="26"/>
          <w:szCs w:val="26"/>
        </w:rPr>
        <w:t>Кургинян</w:t>
      </w:r>
      <w:proofErr w:type="spellEnd"/>
      <w:r w:rsidRPr="00FF46D1">
        <w:rPr>
          <w:sz w:val="26"/>
          <w:szCs w:val="26"/>
        </w:rPr>
        <w:t xml:space="preserve"> А.А., ООО «Универсал») ликвидированы;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1 организация, ФГКУ «Дом отдыха «Пограничник России» ФСБ России, реорганизована в форме преобразования в ФГКУ «Санаторий «Анапа»;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1 организация, ЗАО «Первомайское» – на стадии банкротства (конкурсное управление);</w:t>
      </w:r>
    </w:p>
    <w:p w:rsidR="00FF46D1" w:rsidRP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МБДОУ компе</w:t>
      </w:r>
      <w:r w:rsidR="00703523">
        <w:rPr>
          <w:sz w:val="26"/>
          <w:szCs w:val="26"/>
        </w:rPr>
        <w:t>нсирующего вида № 2 «Орленок» (п</w:t>
      </w:r>
      <w:r w:rsidRPr="00FF46D1">
        <w:rPr>
          <w:sz w:val="26"/>
          <w:szCs w:val="26"/>
        </w:rPr>
        <w:t>риостановление работы в связи с аварийным состоянием здания);</w:t>
      </w:r>
    </w:p>
    <w:p w:rsidR="00FF46D1" w:rsidRDefault="00FF46D1" w:rsidP="00FF46D1">
      <w:pPr>
        <w:snapToGrid w:val="0"/>
        <w:ind w:firstLine="567"/>
        <w:jc w:val="both"/>
        <w:rPr>
          <w:sz w:val="26"/>
          <w:szCs w:val="26"/>
        </w:rPr>
      </w:pPr>
      <w:r w:rsidRPr="00FF46D1">
        <w:rPr>
          <w:sz w:val="26"/>
          <w:szCs w:val="26"/>
        </w:rPr>
        <w:t>ООО Капитан отказался от заключения коллективного договора.</w:t>
      </w:r>
    </w:p>
    <w:p w:rsidR="00A535C4" w:rsidRPr="00FF46D1" w:rsidRDefault="00A535C4" w:rsidP="00FF46D1">
      <w:pPr>
        <w:snapToGrid w:val="0"/>
        <w:ind w:firstLine="567"/>
        <w:jc w:val="both"/>
        <w:rPr>
          <w:sz w:val="26"/>
          <w:szCs w:val="26"/>
        </w:rPr>
      </w:pPr>
      <w:r w:rsidRPr="00A535C4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A535C4">
        <w:rPr>
          <w:sz w:val="26"/>
          <w:szCs w:val="26"/>
        </w:rPr>
        <w:t>Л.Г. Мурашовой внесено предложение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заслушивать</w:t>
      </w:r>
      <w:proofErr w:type="gramEnd"/>
      <w:r>
        <w:rPr>
          <w:sz w:val="26"/>
          <w:szCs w:val="26"/>
        </w:rPr>
        <w:t xml:space="preserve"> на заседаниях комиссии руководителей организаций, допускающих выплату заработной платы ниже минимальной заработной платы, установленной </w:t>
      </w:r>
      <w:r w:rsidRPr="00A535C4">
        <w:rPr>
          <w:sz w:val="26"/>
          <w:szCs w:val="26"/>
        </w:rPr>
        <w:t>Региональн</w:t>
      </w:r>
      <w:r>
        <w:rPr>
          <w:sz w:val="26"/>
          <w:szCs w:val="26"/>
        </w:rPr>
        <w:t>ым</w:t>
      </w:r>
      <w:r w:rsidRPr="00A535C4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ем</w:t>
      </w:r>
      <w:r w:rsidRPr="00A535C4">
        <w:rPr>
          <w:sz w:val="26"/>
          <w:szCs w:val="26"/>
        </w:rPr>
        <w:t xml:space="preserve"> «О минимальной заработной плате в Краснодарском крае»</w:t>
      </w:r>
      <w:r>
        <w:rPr>
          <w:sz w:val="26"/>
          <w:szCs w:val="26"/>
        </w:rPr>
        <w:t>.</w:t>
      </w:r>
    </w:p>
    <w:p w:rsidR="00226766" w:rsidRPr="00DB45C7" w:rsidRDefault="00226766" w:rsidP="00226766">
      <w:pPr>
        <w:snapToGrid w:val="0"/>
        <w:ind w:firstLine="567"/>
        <w:jc w:val="both"/>
        <w:rPr>
          <w:b/>
          <w:kern w:val="1"/>
          <w:sz w:val="26"/>
          <w:szCs w:val="26"/>
        </w:rPr>
      </w:pPr>
      <w:proofErr w:type="gramStart"/>
      <w:r w:rsidRPr="00EB1738">
        <w:rPr>
          <w:kern w:val="1"/>
          <w:sz w:val="26"/>
          <w:szCs w:val="26"/>
        </w:rPr>
        <w:t xml:space="preserve">Заслушав и обсудив информацию начальника управления экономики и инвестиций </w:t>
      </w:r>
      <w:r w:rsidR="00FF46D1">
        <w:rPr>
          <w:kern w:val="1"/>
          <w:sz w:val="26"/>
          <w:szCs w:val="26"/>
        </w:rPr>
        <w:t>С.А. Кириленко</w:t>
      </w:r>
      <w:r>
        <w:rPr>
          <w:kern w:val="1"/>
          <w:sz w:val="26"/>
          <w:szCs w:val="26"/>
        </w:rPr>
        <w:t>,</w:t>
      </w:r>
      <w:r w:rsidRPr="00EB1738">
        <w:rPr>
          <w:kern w:val="1"/>
          <w:sz w:val="26"/>
          <w:szCs w:val="26"/>
        </w:rPr>
        <w:t xml:space="preserve"> начальника отдела трудовых отношений, охраны труда и взаимодействию с работодателями ГКУ КК «Центр занятости населения в г. Анапа» </w:t>
      </w:r>
      <w:r>
        <w:rPr>
          <w:kern w:val="1"/>
          <w:sz w:val="26"/>
          <w:szCs w:val="26"/>
        </w:rPr>
        <w:t>И.М. Головиной</w:t>
      </w:r>
      <w:r w:rsidRPr="00EB1738">
        <w:rPr>
          <w:kern w:val="1"/>
          <w:sz w:val="26"/>
          <w:szCs w:val="26"/>
        </w:rPr>
        <w:t xml:space="preserve"> «О ходе выполнения территориального трехстороннего соглашения между администрацией муниципального образования город-курорт Анапа, городским объединением организацией профессиональных союзов и объединением работодателей в 201</w:t>
      </w:r>
      <w:r w:rsidR="00FF46D1">
        <w:rPr>
          <w:kern w:val="1"/>
          <w:sz w:val="26"/>
          <w:szCs w:val="26"/>
        </w:rPr>
        <w:t>5</w:t>
      </w:r>
      <w:r w:rsidRPr="00EB1738">
        <w:rPr>
          <w:kern w:val="1"/>
          <w:sz w:val="26"/>
          <w:szCs w:val="26"/>
        </w:rPr>
        <w:t xml:space="preserve"> </w:t>
      </w:r>
      <w:r w:rsidRPr="00DB45C7">
        <w:rPr>
          <w:kern w:val="1"/>
          <w:sz w:val="26"/>
          <w:szCs w:val="26"/>
        </w:rPr>
        <w:t>году», территориальная трехсторонняя комиссия РЕШИЛА</w:t>
      </w:r>
      <w:r w:rsidRPr="00DB45C7">
        <w:rPr>
          <w:b/>
          <w:kern w:val="1"/>
          <w:sz w:val="26"/>
          <w:szCs w:val="26"/>
        </w:rPr>
        <w:t>:</w:t>
      </w:r>
      <w:proofErr w:type="gramEnd"/>
    </w:p>
    <w:p w:rsidR="00226766" w:rsidRDefault="00226766" w:rsidP="00226766">
      <w:pPr>
        <w:ind w:firstLine="567"/>
        <w:jc w:val="both"/>
        <w:rPr>
          <w:kern w:val="1"/>
          <w:sz w:val="26"/>
          <w:szCs w:val="26"/>
        </w:rPr>
      </w:pPr>
      <w:r w:rsidRPr="00DB45C7">
        <w:rPr>
          <w:kern w:val="1"/>
          <w:sz w:val="26"/>
          <w:szCs w:val="26"/>
        </w:rPr>
        <w:t>1.</w:t>
      </w:r>
      <w:r w:rsidRPr="00DB45C7">
        <w:rPr>
          <w:b/>
          <w:kern w:val="1"/>
          <w:sz w:val="26"/>
          <w:szCs w:val="26"/>
        </w:rPr>
        <w:t xml:space="preserve"> </w:t>
      </w:r>
      <w:r w:rsidRPr="00DB45C7">
        <w:rPr>
          <w:kern w:val="1"/>
          <w:sz w:val="26"/>
          <w:szCs w:val="26"/>
        </w:rPr>
        <w:t xml:space="preserve">Информацию </w:t>
      </w:r>
      <w:r w:rsidR="00FF46D1" w:rsidRPr="00FF46D1">
        <w:rPr>
          <w:kern w:val="1"/>
          <w:sz w:val="26"/>
          <w:szCs w:val="26"/>
        </w:rPr>
        <w:t>о ходе выполнения территориального трехстороннего соглашения между администрацией муниципального образования город-курорт Анапа, городским объединением организаций профессиональных союзов и объединением работодателей в 2015 году</w:t>
      </w:r>
      <w:r w:rsidRPr="00DB45C7">
        <w:rPr>
          <w:kern w:val="1"/>
          <w:sz w:val="26"/>
          <w:szCs w:val="26"/>
        </w:rPr>
        <w:t xml:space="preserve"> принять к сведению.</w:t>
      </w:r>
    </w:p>
    <w:p w:rsidR="00A535C4" w:rsidRDefault="00A535C4" w:rsidP="00226766">
      <w:pPr>
        <w:ind w:firstLine="567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2. При рассмотрении вопроса «О </w:t>
      </w:r>
      <w:r w:rsidRPr="00A535C4">
        <w:rPr>
          <w:kern w:val="1"/>
          <w:sz w:val="26"/>
          <w:szCs w:val="26"/>
        </w:rPr>
        <w:t>выполнении Регионального соглашения «О минимальной заработной плате в Краснодарском крае» в муниципальном образовании город-курорт Анапа</w:t>
      </w:r>
      <w:r>
        <w:rPr>
          <w:kern w:val="1"/>
          <w:sz w:val="26"/>
          <w:szCs w:val="26"/>
        </w:rPr>
        <w:t xml:space="preserve">» пригласить на заседание руководителей предприятий города, </w:t>
      </w:r>
      <w:r w:rsidRPr="00A535C4">
        <w:rPr>
          <w:kern w:val="1"/>
          <w:sz w:val="26"/>
          <w:szCs w:val="26"/>
        </w:rPr>
        <w:t>допус</w:t>
      </w:r>
      <w:r>
        <w:rPr>
          <w:kern w:val="1"/>
          <w:sz w:val="26"/>
          <w:szCs w:val="26"/>
        </w:rPr>
        <w:t>тивших</w:t>
      </w:r>
      <w:r w:rsidRPr="00A535C4">
        <w:rPr>
          <w:kern w:val="1"/>
          <w:sz w:val="26"/>
          <w:szCs w:val="26"/>
        </w:rPr>
        <w:t xml:space="preserve"> выплату заработной платы ниже </w:t>
      </w:r>
      <w:r>
        <w:rPr>
          <w:kern w:val="1"/>
          <w:sz w:val="26"/>
          <w:szCs w:val="26"/>
        </w:rPr>
        <w:t>установленной региональным соглашением.</w:t>
      </w:r>
    </w:p>
    <w:p w:rsidR="00BB4122" w:rsidRPr="001162F4" w:rsidRDefault="00BB4122" w:rsidP="009959E4">
      <w:pPr>
        <w:widowControl w:val="0"/>
        <w:ind w:firstLine="720"/>
        <w:rPr>
          <w:kern w:val="1"/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402"/>
        <w:gridCol w:w="3685"/>
        <w:gridCol w:w="3544"/>
      </w:tblGrid>
      <w:tr w:rsidR="009959E4" w:rsidRPr="001162F4" w:rsidTr="00D739B3">
        <w:tc>
          <w:tcPr>
            <w:tcW w:w="3402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1162F4" w:rsidRDefault="009959E4" w:rsidP="001E53C5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</w:t>
            </w:r>
            <w:r w:rsidR="00C10685">
              <w:rPr>
                <w:sz w:val="26"/>
                <w:szCs w:val="26"/>
              </w:rPr>
              <w:t>Л.Г.</w:t>
            </w:r>
            <w:r w:rsidR="001E53C5">
              <w:rPr>
                <w:sz w:val="26"/>
                <w:szCs w:val="26"/>
              </w:rPr>
              <w:t xml:space="preserve"> </w:t>
            </w:r>
            <w:r w:rsidR="00C10685">
              <w:rPr>
                <w:sz w:val="26"/>
                <w:szCs w:val="26"/>
              </w:rPr>
              <w:t>Мурашова</w:t>
            </w:r>
          </w:p>
        </w:tc>
        <w:tc>
          <w:tcPr>
            <w:tcW w:w="368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color w:val="FF0000"/>
                <w:sz w:val="26"/>
                <w:szCs w:val="26"/>
              </w:rPr>
            </w:pPr>
          </w:p>
          <w:p w:rsidR="009959E4" w:rsidRPr="001162F4" w:rsidRDefault="00FF46D1" w:rsidP="00FF46D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Default="009959E4" w:rsidP="00F662DF">
            <w:pPr>
              <w:rPr>
                <w:sz w:val="26"/>
                <w:szCs w:val="26"/>
              </w:rPr>
            </w:pPr>
          </w:p>
          <w:p w:rsidR="00D739B3" w:rsidRPr="001162F4" w:rsidRDefault="00D739B3" w:rsidP="00F662DF">
            <w:pPr>
              <w:rPr>
                <w:sz w:val="26"/>
                <w:szCs w:val="26"/>
              </w:rPr>
            </w:pPr>
          </w:p>
          <w:p w:rsidR="009959E4" w:rsidRPr="001162F4" w:rsidRDefault="009959E4" w:rsidP="001E53C5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1E53C5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D1A1E" w:rsidRDefault="009D1A1E">
      <w:bookmarkStart w:id="0" w:name="_GoBack"/>
      <w:bookmarkEnd w:id="0"/>
    </w:p>
    <w:sectPr w:rsidR="009D1A1E" w:rsidSect="00D739B3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3C5"/>
    <w:rsid w:val="001E545A"/>
    <w:rsid w:val="001E59E5"/>
    <w:rsid w:val="001F3DDC"/>
    <w:rsid w:val="001F719D"/>
    <w:rsid w:val="00226766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F7D0D"/>
    <w:rsid w:val="00515BB6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3F8A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3523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2D81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8B8"/>
    <w:rsid w:val="00852EC6"/>
    <w:rsid w:val="008552BB"/>
    <w:rsid w:val="008640BF"/>
    <w:rsid w:val="00870D68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35C4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96E5A"/>
    <w:rsid w:val="00BA2E2B"/>
    <w:rsid w:val="00BA30AA"/>
    <w:rsid w:val="00BA5E49"/>
    <w:rsid w:val="00BA6043"/>
    <w:rsid w:val="00BB18BF"/>
    <w:rsid w:val="00BB4122"/>
    <w:rsid w:val="00BB6750"/>
    <w:rsid w:val="00BD56F5"/>
    <w:rsid w:val="00BD7032"/>
    <w:rsid w:val="00BE1B63"/>
    <w:rsid w:val="00BE2294"/>
    <w:rsid w:val="00BE40CA"/>
    <w:rsid w:val="00C050EC"/>
    <w:rsid w:val="00C05209"/>
    <w:rsid w:val="00C0786A"/>
    <w:rsid w:val="00C10685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85F00"/>
    <w:rsid w:val="00C91462"/>
    <w:rsid w:val="00C91AAB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402EE"/>
    <w:rsid w:val="00D44C17"/>
    <w:rsid w:val="00D52867"/>
    <w:rsid w:val="00D628B0"/>
    <w:rsid w:val="00D64508"/>
    <w:rsid w:val="00D65D4B"/>
    <w:rsid w:val="00D739B3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  <w:rsid w:val="00F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31</cp:revision>
  <cp:lastPrinted>2015-12-23T11:25:00Z</cp:lastPrinted>
  <dcterms:created xsi:type="dcterms:W3CDTF">2012-02-02T11:00:00Z</dcterms:created>
  <dcterms:modified xsi:type="dcterms:W3CDTF">2015-12-23T11:44:00Z</dcterms:modified>
</cp:coreProperties>
</file>